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33333"/>
          <w:sz w:val="21"/>
          <w:szCs w:val="21"/>
          <w:u w:val="none"/>
          <w:shd w:fill="auto" w:val="clear"/>
          <w:vertAlign w:val="baseline"/>
          <w:rtl w:val="0"/>
        </w:rPr>
        <w:t xml:space="preserve">CỘNG HOÀ XÃ HỘI CHỦ NGHĨA VIỆT NAM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HỢP ĐỒNG KINH TẾ</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SỐ: ……./HĐMB</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V/v Mua bán hàng hóa, cung cấp vật tư vật </w:t>
      </w:r>
      <w:r w:rsidDel="00000000" w:rsidR="00000000" w:rsidRPr="00000000">
        <w:rPr>
          <w:rFonts w:ascii="Times New Roman" w:cs="Times New Roman" w:eastAsia="Times New Roman" w:hAnsi="Times New Roman"/>
          <w:i w:val="1"/>
          <w:iCs w:val="1"/>
          <w:rtl w:val="0"/>
        </w:rPr>
        <w:t xml:space="preserve">l</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iệu……………………………………………………………………</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 Căn cứ vào Bộ Luật dân sự số 91/2015/QH13 ngày 24/11/2015;</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 Căn cứ Luật Thương mại số 36/2005/QH11 do Quốc hội nước Cộng Hòa Xã Hội Chủ Nghĩa Việt Nam ban hành ngày 14 tháng 6 năm 2005.</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Hôm nay, ngày ……. tháng ……. năm 20…,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ại trụ sở chính CÔNG </w:t>
      </w: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Y……………………………</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Địa chỉ:…………………………………</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i w:val="1"/>
          <w:iCs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Đại diện bên 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mua:..................................................................................................................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Địa chỉ trụ sở chính:...................................................................................................</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MST: …………..……….Điện thoại:.....................................................................................</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Đại diện: (Ông/Bà) …………………………………… Chức vụ:.......................................................</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 Đại diện bên B:</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bán:..................................................................................................................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Địa chỉ trụ sở chính:...................................................................................................</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MST: …………..……….Điện thoại:.....................................................................................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Đại diện: (Ông/Bà) …………………………………… Chức vụ:.......................................................</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Hai bên cùng nhau bàn bạc thống nhất ký kết hợp đồng kinh tế với những điều khoản sau:</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1: NỘI DUNG CÔNG VIỆC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B đồng ý giao cho bên A :</w:t>
      </w:r>
      <w:r w:rsidDel="00000000" w:rsidR="00000000" w:rsidRPr="00000000">
        <w:rPr>
          <w:rtl w:val="0"/>
        </w:rPr>
      </w:r>
    </w:p>
    <w:tbl>
      <w:tblPr>
        <w:tblStyle w:val="Table1"/>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05"/>
        <w:gridCol w:w="1290"/>
        <w:gridCol w:w="795"/>
        <w:gridCol w:w="780"/>
        <w:gridCol w:w="915"/>
        <w:gridCol w:w="2385"/>
        <w:gridCol w:w="2340"/>
        <w:tblGridChange w:id="0">
          <w:tblGrid>
            <w:gridCol w:w="1005"/>
            <w:gridCol w:w="1290"/>
            <w:gridCol w:w="795"/>
            <w:gridCol w:w="780"/>
            <w:gridCol w:w="915"/>
            <w:gridCol w:w="2385"/>
            <w:gridCol w:w="2340"/>
          </w:tblGrid>
        </w:tblGridChange>
      </w:tblGrid>
      <w:tr>
        <w:trPr>
          <w:cantSplit w:val="0"/>
          <w:tblHeader w:val="0"/>
        </w:trPr>
        <w:tc>
          <w:tcP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Số thứ tự</w:t>
            </w:r>
            <w:r w:rsidDel="00000000" w:rsidR="00000000" w:rsidRPr="00000000">
              <w:rPr>
                <w:rtl w:val="0"/>
              </w:rPr>
            </w:r>
          </w:p>
        </w:tc>
        <w:tc>
          <w:tcP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Tên hàng</w:t>
            </w: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Đơn vị</w:t>
            </w:r>
            <w:r w:rsidDel="00000000" w:rsidR="00000000" w:rsidRPr="00000000">
              <w:rPr>
                <w:rtl w:val="0"/>
              </w:rPr>
            </w:r>
          </w:p>
        </w:tc>
        <w:tc>
          <w:tcP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Số lượng</w:t>
            </w:r>
            <w:r w:rsidDel="00000000" w:rsidR="00000000" w:rsidRPr="00000000">
              <w:rPr>
                <w:rtl w:val="0"/>
              </w:rPr>
            </w:r>
          </w:p>
        </w:tc>
        <w:tc>
          <w:tcP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Đơn giá</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(VNĐ)</w:t>
            </w:r>
            <w:r w:rsidDel="00000000" w:rsidR="00000000" w:rsidRPr="00000000">
              <w:rPr>
                <w:rtl w:val="0"/>
              </w:rPr>
            </w:r>
          </w:p>
        </w:tc>
        <w:tc>
          <w:tcP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Giá trước thuế (VNĐ)</w:t>
            </w:r>
            <w:r w:rsidDel="00000000" w:rsidR="00000000" w:rsidRPr="00000000">
              <w:rPr>
                <w:rtl w:val="0"/>
              </w:rPr>
            </w:r>
          </w:p>
        </w:tc>
        <w:tc>
          <w:tcP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Giá sau thuế (VNĐ)</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r>
      <w:tr>
        <w:trPr>
          <w:cantSplit w:val="0"/>
          <w:tblHeader w:val="0"/>
        </w:trPr>
        <w:tc>
          <w:tcP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r>
      <w:tr>
        <w:trPr>
          <w:cantSplit w:val="0"/>
          <w:tblHeader w:val="0"/>
        </w:trPr>
        <w:tc>
          <w:tcP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r>
      <w:tr>
        <w:trPr>
          <w:cantSplit w:val="0"/>
          <w:tblHeader w:val="0"/>
        </w:trPr>
        <w:tc>
          <w:tcP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Cộng</w:t>
            </w:r>
          </w:p>
        </w:tc>
        <w:tc>
          <w:tcP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r>
      <w:tr>
        <w:trPr>
          <w:cantSplit w:val="0"/>
          <w:tblHeader w:val="0"/>
        </w:trPr>
        <w:tc>
          <w:tcP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Bằng chữ</w:t>
            </w: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2: PHƯƠNG THỨC VÀ TIẾN ĐỘ THANH TOÁN</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 Phương thức thanh toán: Thanh toán tiền mặt</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 Đồng tiền thanh toán: Đồng Việt Nam</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3. Tiến độ thanh toán:</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Bên A sẽ tạm ứng cho Bên B 60% giá trị Hợp đồng trong vòng 07 (bảy) ngày làm việc kể từ ngày Bên A nhận được đề nghị tạm ứng của Bên B.</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Bên A sẽ thanh toán 40% giá trị khối lượng đợt giao hàng tương ứng cho Bên B trong vòng 20 (hai mươi) ngày làm việc kể từ ngày nhận đủ hàng hóa và hồ sơ thanh toán hợp lệ từ Bên B.</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Hồ sơ thanh quyết toán bao gồm:</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Hóa đơn thông thường hợp lệ;</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Bảng tổng hợp khối lượng và giá trị hàng hóa được giao.</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Biên bản giao nhận hàng hóa có xác nhận của Hai bên;</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Giấy đề nghị thanh toán của Bên B gửi cho Bên A.</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Biên bản nghiệm thu chất lượng sản phẩm sau thời gian bảo hành.</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3. CHẤT LƯỢNG VÀ CÁC YÊU CẦU KỸ THUẬT</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 Bên B cung cấp cây theo đúng thời gian yêu cầu đã được Hai bên thống nhất. Vật tư cung cấp đúng yêu cầu tại Điều 3 của Hợp đồng.</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 Trong trường hợp cần phải thay thế bất cứ hàng hóa nào không đúng theo thỏa thuận quy định tại Điều 3 của hợp đồng thì Bên yêu cầu thay thế phải thông báo trước cho Bên kia về lý do, Bên B sẽ thay thế mặt hàng có quy cách, chất lượng, giá trị tương đương hoặc tốt hơn sản phẩm ban đầu. Mọi sự thay đổi phải được sự chấp thuận của hai bên.</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4. QUYỀN VÀ NGHĨA VỤ CỦA BÊN A</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Hỗ trợ và tạo điều kiện thuận lợi để Bên B hoàn thành công việc đúng thời hạn;</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Thực hiện thanh toán đầy đủ và đúng thời hạn theo quy định của Hợp đồng kinh tế;</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A có quyền từ chối nhận hàng nếu phát hiện Bên B cung cấp hàng hóa không theo đúng thỏa thuận của Hai bên tại Điều 3, bao gồm và không loại trừ việc bảo đảm số lượng, chất lượng được Hai bên thỏa thuận;</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Cử người giám sát việc giao nhận hàng hóa, xác nhận biên bản giao hàng hóa với số lượng, khối lượng theo thực tế hàng được giao tại thời điểm giao hàng;</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Thực hiện đầy đủ các trách nhiệm quy định trong Hợp đồng này và các trách nhiệm khác theo quy định của pháp luật hiện hành.</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5. QUYỀN VÀ NGHĨA VỤ CỦA BÊN B</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Cung cấp hóa đơn tài chính hợp pháp theo quy định cho Bên A;</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Không được chuyển nhượng Hợp đồng hoặc một phần Hợp đồng này cho một bên thứ ba khi chưa được sự đồng ý của Bên A;</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Có trách nhiệm lập đầy đủ các hồ sơ liên quan đến việc nghiệm thu khối lượng, bàn giao, thanh toán khi Bên A yêu cầu;</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Chịu trách nhiệm hoàn toàn và không giới hạn đối với những rủi ro xảy ra đối với hàng hóa trong quá trình vận chuyển, bốc dỡ hàng hóa cho Bên A;</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Thực hiện đầy đủ các trách nhiệm quy định trong Hợp đồng này và các trách nhiệm khác theo quy định của pháp luật hiện hành;</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Cam kết là chủ sở hữu hợp pháp của các hàng hóa nêu trên;</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Bảo đảm cho Bên A được miễn trừ mọi trách nhiệm pháp lý và đảm bảo có chức năng kinh doanh ngành nghề theo quy định pháp luật;</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Chịu trách nhiệm hoàn toàn và không giới hạn những tai nạn lao động xảy ra trong quá trình thực hiện công việc của Bên B cho đến khi hàng hóa bàn giao cho Bên A;</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Bên B cam kết cung cấp hàng hóa đáp ứng được đầy đủ các yêu cầu theo quy định tại Điều 3 của Hợp đồng. Trong quá trình bàn giao hàng hóa dưới sự xác nhận của hai bên, nếu phát hiện bên B cung cấp hàng hóa không đáp ứng được các yêu cầu về chất lượng, thì bên B sẽ có trách nhiệm thay thế bằng hàng mới 100% và phải đáp ứng được đầy đủ các yêu cầu mà không tính thêm chi phí phát sinh.</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6. BẤT KHẢ KHÁNG</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Khi có sự cố xảy ra, bên bị ảnh hưởng bởi sự kiện bất khả kháng cũng phải có nghĩa vụ thông báo cho bên kia về sự kiện bất khả kháng xảy ra trong vòng 07 (bảy) ngày kể từ ngày xảy ra sự kiện bất khả kháng. Sự kiện bất khả kháng là sự kiện xảy ra mang tính khách quan và nằm ngoài tầm kiểm soát của các bên như động đất, bão, lũ lụt, lốc, sóng thần, lở đất, hỏa hoạn, chiến tranh hoặc có nguy cơ xảy ra chiến tranh,… và các thảm họa khác chưa lường hết được, sự thay đổi chính sách hoặc ngăn cấm của cơ quan có thẩm quyền của Việt Nam.</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7. VI PHẠM VÀ XỬ LÝ VI PHẠM</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1. Trường hợp Bên A quá hạn thanh toán theo quy định tại Khoản 4.3 Điều 4 của Hợp đồng kinh tế thì Bên A phải chịu thêm lãi suất tính theo mức lãi suất cho vay có kỳ hạn 12 tháng của Ngân hàng TMCP Đầu tư và Phát triển Việt Nam (BIDV) quy định tại thời điểm chậm thanh toán, tính trên số tiền và thời gian chậm thanh toán.</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2. Nếu Bên B chậm giao hàng so với tiến độ nêu tại khoản 2.1 Điều 2 thì Bên B phải chịu phạt với số tiền tương ứng 0,2% (không phẩy hai phần trăm) giá trị Hợp đồng tính trên 01 (một) ngày chậm trễ giao hàng.</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ĐIỀU 8. ĐIỀU KHOẢN CHUNG</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Khi hai bên đã thực hiện đầy đủ các điều khoản quy định trong hợp đồng thì hợp đồng này mặc nhiên được thanh lý.</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Các Bên, đại diện của các Bên cam kết thực hiện nghiêm chỉnh các nội dung, điều khoản đã thỏa thuận trong Hợp đồng; không Bên nào được đơn phương sửa đổi nội dung Hợp đồng. Mọi bổ sung, sửa đổi các điều khoản của Hợp đồng phải được Hai bên thống nhất bằng văn bản hoặc Phụ lục Hợp đồng.</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Hợp đồng có hiệu lực từ ngày ký và được lập thành 02 (hai) bản, Bên A giữ 01 (một) bản, Bên B giữ 01 (một) bản có giá trị pháp lý như nhau.</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Đồng thời trong thời gian tranh chấp đang được giải quyết thì Các bên phải tiếp tục thực hiện nghĩa vụ của mình theo Hợp đồng này – ngoại trừ vấn đề đang tranh chấp.</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9" w:right="0" w:hanging="283"/>
        <w:jc w:val="both"/>
        <w:rPr>
          <w:rFonts w:ascii="Times New Roman" w:cs="Times New Roman" w:eastAsia="Times New Roman" w:hAnsi="Times New Roman"/>
          <w:i w:val="0"/>
          <w:iCs w:val="0"/>
          <w:smallCaps w:val="0"/>
          <w:strike w:val="0"/>
          <w:color w:val="333333"/>
          <w:sz w:val="22"/>
          <w:szCs w:val="22"/>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Nếu trong quá trình thực hiện Hợp đồng có khó khăn, trở ngại thì Hai bên bàn bạc giải quyết trên tinh thần hợp tác và tôn trọng. Trong thời hạn 30 (ba mươi) ngày kể từ ngày phát sinh tranh chấp, nếu Hai bên không đạt được thỏa thuận thì Hai bên thống nhất đưa vụ việc ra Tòa án nhân dân có thẩm quyền giải quyết.</w:t>
      </w:r>
      <w:r w:rsidDel="00000000" w:rsidR="00000000" w:rsidRPr="00000000">
        <w:rPr>
          <w:rtl w:val="0"/>
        </w:rPr>
      </w:r>
    </w:p>
    <w:tbl>
      <w:tblPr>
        <w:tblStyle w:val="Table2"/>
        <w:tblW w:w="9390.0" w:type="dxa"/>
        <w:jc w:val="left"/>
        <w:tblLayout w:type="fixed"/>
        <w:tblLook w:val="0000"/>
      </w:tblPr>
      <w:tblGrid>
        <w:gridCol w:w="4410"/>
        <w:gridCol w:w="1440"/>
        <w:gridCol w:w="3540"/>
        <w:tblGridChange w:id="0">
          <w:tblGrid>
            <w:gridCol w:w="4410"/>
            <w:gridCol w:w="1440"/>
            <w:gridCol w:w="3540"/>
          </w:tblGrid>
        </w:tblGridChange>
      </w:tblGrid>
      <w:tr>
        <w:trPr>
          <w:cantSplit w:val="0"/>
          <w:tblHeader w:val="0"/>
        </w:trPr>
        <w:tc>
          <w:tcP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BÊN A</w:t>
            </w:r>
            <w:r w:rsidDel="00000000" w:rsidR="00000000" w:rsidRPr="00000000">
              <w:rPr>
                <w:rtl w:val="0"/>
              </w:rPr>
            </w:r>
          </w:p>
        </w:tc>
        <w:tc>
          <w:tcP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BÊN B</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(Ký, họ tên và đóng dấu (nếu có)</w:t>
            </w:r>
          </w:p>
        </w:tc>
        <w:tc>
          <w:tcP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(Ký, họ tên và đóng dấu (nếu có)</w:t>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0" w:line="276" w:lineRule="auto"/>
        <w:ind w:left="0" w:right="0" w:firstLine="0"/>
        <w:jc w:val="center"/>
        <w:rPr>
          <w:rFonts w:ascii="Times New Roman" w:cs="Times New Roman" w:eastAsia="Times New Roman" w:hAnsi="Times New Roman"/>
          <w:i w:val="0"/>
          <w:iCs w:val="0"/>
          <w:smallCaps w:val="0"/>
          <w:strike w:val="0"/>
          <w:color w:val="333333"/>
          <w:sz w:val="22"/>
          <w:szCs w:val="22"/>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abstractNum w:abstractNumId="2">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abstractNum w:abstractNumId="3">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abstractNum w:abstractNumId="4">
    <w:lvl w:ilvl="0">
      <w:start w:val="1"/>
      <w:numFmt w:val="bullet"/>
      <w:lvlText w:val="●"/>
      <w:lvlJc w:val="left"/>
      <w:pPr>
        <w:ind w:left="709" w:hanging="282.9999999999999"/>
      </w:pPr>
      <w:rPr>
        <w:rFonts w:ascii="Noto Sans Symbols" w:cs="Noto Sans Symbols" w:eastAsia="Noto Sans Symbols" w:hAnsi="Noto Sans Symbols"/>
      </w:rPr>
    </w:lvl>
    <w:lvl w:ilvl="1">
      <w:start w:val="1"/>
      <w:numFmt w:val="bullet"/>
      <w:lvlText w:val="●"/>
      <w:lvlJc w:val="left"/>
      <w:pPr>
        <w:ind w:left="1418" w:hanging="282.9999999999998"/>
      </w:pPr>
      <w:rPr>
        <w:rFonts w:ascii="Noto Sans Symbols" w:cs="Noto Sans Symbols" w:eastAsia="Noto Sans Symbols" w:hAnsi="Noto Sans Symbols"/>
      </w:rPr>
    </w:lvl>
    <w:lvl w:ilvl="2">
      <w:start w:val="1"/>
      <w:numFmt w:val="bullet"/>
      <w:lvlText w:val="●"/>
      <w:lvlJc w:val="left"/>
      <w:pPr>
        <w:ind w:left="2127" w:hanging="283.0000000000002"/>
      </w:pPr>
      <w:rPr>
        <w:rFonts w:ascii="Noto Sans Symbols" w:cs="Noto Sans Symbols" w:eastAsia="Noto Sans Symbols" w:hAnsi="Noto Sans Symbols"/>
      </w:rPr>
    </w:lvl>
    <w:lvl w:ilvl="3">
      <w:start w:val="1"/>
      <w:numFmt w:val="bullet"/>
      <w:lvlText w:val="●"/>
      <w:lvlJc w:val="left"/>
      <w:pPr>
        <w:ind w:left="2836" w:hanging="283"/>
      </w:pPr>
      <w:rPr>
        <w:rFonts w:ascii="Noto Sans Symbols" w:cs="Noto Sans Symbols" w:eastAsia="Noto Sans Symbols" w:hAnsi="Noto Sans Symbols"/>
      </w:rPr>
    </w:lvl>
    <w:lvl w:ilvl="4">
      <w:start w:val="1"/>
      <w:numFmt w:val="bullet"/>
      <w:lvlText w:val="●"/>
      <w:lvlJc w:val="left"/>
      <w:pPr>
        <w:ind w:left="3545" w:hanging="283"/>
      </w:pPr>
      <w:rPr>
        <w:rFonts w:ascii="Noto Sans Symbols" w:cs="Noto Sans Symbols" w:eastAsia="Noto Sans Symbols" w:hAnsi="Noto Sans Symbols"/>
      </w:rPr>
    </w:lvl>
    <w:lvl w:ilvl="5">
      <w:start w:val="1"/>
      <w:numFmt w:val="bullet"/>
      <w:lvlText w:val="●"/>
      <w:lvlJc w:val="left"/>
      <w:pPr>
        <w:ind w:left="4254" w:hanging="283.00000000000045"/>
      </w:pPr>
      <w:rPr>
        <w:rFonts w:ascii="Noto Sans Symbols" w:cs="Noto Sans Symbols" w:eastAsia="Noto Sans Symbols" w:hAnsi="Noto Sans Symbols"/>
      </w:rPr>
    </w:lvl>
    <w:lvl w:ilvl="6">
      <w:start w:val="1"/>
      <w:numFmt w:val="bullet"/>
      <w:lvlText w:val="●"/>
      <w:lvlJc w:val="left"/>
      <w:pPr>
        <w:ind w:left="4963" w:hanging="283"/>
      </w:pPr>
      <w:rPr>
        <w:rFonts w:ascii="Noto Sans Symbols" w:cs="Noto Sans Symbols" w:eastAsia="Noto Sans Symbols" w:hAnsi="Noto Sans Symbols"/>
      </w:rPr>
    </w:lvl>
    <w:lvl w:ilvl="7">
      <w:start w:val="1"/>
      <w:numFmt w:val="bullet"/>
      <w:lvlText w:val="●"/>
      <w:lvlJc w:val="left"/>
      <w:pPr>
        <w:ind w:left="5672" w:hanging="282.9999999999991"/>
      </w:pPr>
      <w:rPr>
        <w:rFonts w:ascii="Noto Sans Symbols" w:cs="Noto Sans Symbols" w:eastAsia="Noto Sans Symbols" w:hAnsi="Noto Sans Symbols"/>
      </w:rPr>
    </w:lvl>
    <w:lvl w:ilvl="8">
      <w:start w:val="1"/>
      <w:numFmt w:val="bullet"/>
      <w:lvlText w:val="●"/>
      <w:lvlJc w:val="left"/>
      <w:pPr>
        <w:ind w:left="6381" w:hanging="282.9999999999991"/>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Strong">
    <w:name w:val="Strong"/>
    <w:basedOn w:val="DefaultParagraphFont"/>
    <w:uiPriority w:val="22"/>
    <w:qFormat w:val="1"/>
    <w:rsid w:val="007446EA"/>
    <w:rPr>
      <w:rFonts w:cs="Times New Roman"/>
      <w:b w:val="1"/>
      <w:bCs w:val="1"/>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val="1"/>
    <w:locked w:val="1"/>
    <w:rsid w:val="007446EA"/>
    <w:rPr>
      <w:rFonts w:cs="Times New Roman"/>
    </w:rPr>
  </w:style>
  <w:style w:type="character" w:styleId="FooterChar" w:customStyle="1">
    <w:name w:val="Footer Char"/>
    <w:basedOn w:val="DefaultParagraphFont"/>
    <w:link w:val="Footer"/>
    <w:uiPriority w:val="99"/>
    <w:qFormat w:val="1"/>
    <w:locked w:val="1"/>
    <w:rsid w:val="007446EA"/>
    <w:rPr>
      <w:rFonts w:cs="Times New Roman"/>
    </w:rPr>
  </w:style>
  <w:style w:type="character" w:styleId="BalloonTextChar" w:customStyle="1">
    <w:name w:val="Balloon Text Char"/>
    <w:basedOn w:val="DefaultParagraphFont"/>
    <w:link w:val="BalloonText"/>
    <w:uiPriority w:val="99"/>
    <w:semiHidden w:val="1"/>
    <w:qFormat w:val="1"/>
    <w:locked w:val="1"/>
    <w:rsid w:val="007446EA"/>
    <w:rPr>
      <w:rFonts w:ascii="Tahoma" w:cs="Tahoma" w:hAnsi="Tahoma"/>
      <w:sz w:val="16"/>
      <w:szCs w:val="16"/>
    </w:rPr>
  </w:style>
  <w:style w:type="character" w:styleId="Emphasis">
    <w:name w:val="Emphasis"/>
    <w:basedOn w:val="DefaultParagraphFont"/>
    <w:uiPriority w:val="20"/>
    <w:qFormat w:val="1"/>
    <w:locked w:val="1"/>
    <w:rsid w:val="00F0551E"/>
    <w:rPr>
      <w:i w:val="1"/>
      <w:iCs w:val="1"/>
    </w:rPr>
  </w:style>
  <w:style w:type="character" w:styleId="Heading2Char" w:customStyle="1">
    <w:name w:val="Heading 2 Char"/>
    <w:basedOn w:val="DefaultParagraphFont"/>
    <w:link w:val="Heading2"/>
    <w:uiPriority w:val="9"/>
    <w:qFormat w:val="1"/>
    <w:rsid w:val="00925097"/>
    <w:rPr>
      <w:rFonts w:ascii="Times New Roman" w:hAnsi="Times New Roman"/>
      <w:b w:val="1"/>
      <w:bCs w:val="1"/>
      <w:sz w:val="36"/>
      <w:szCs w:val="36"/>
    </w:rPr>
  </w:style>
  <w:style w:type="character" w:styleId="StrongEmphasis">
    <w:name w:val="Strong Emphasis"/>
    <w:qFormat w:val="1"/>
    <w:rPr>
      <w:b w:val="1"/>
      <w:bCs w:val="1"/>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Arial"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name w:val="Index"/>
    <w:basedOn w:val="Normal"/>
    <w:qFormat w:val="1"/>
    <w:pPr>
      <w:suppressLineNumbers w:val="1"/>
    </w:pPr>
    <w:rPr>
      <w:rFonts w:cs="Arial"/>
      <w:lang w:bidi="zxx" w:eastAsia="zxx" w:val="zxx"/>
    </w:rPr>
  </w:style>
  <w:style w:type="paragraph" w:styleId="NormalWeb">
    <w:name w:val="Normal (Web)"/>
    <w:basedOn w:val="Normal"/>
    <w:uiPriority w:val="99"/>
    <w:qFormat w:val="1"/>
    <w:rsid w:val="007446EA"/>
    <w:pPr>
      <w:spacing w:afterAutospacing="1" w:beforeAutospacing="1" w:line="240" w:lineRule="auto"/>
    </w:pPr>
    <w:rPr>
      <w:rFonts w:ascii="Times New Roman" w:eastAsia="Times New Roman" w:hAnsi="Times New Roman"/>
      <w:sz w:val="24"/>
      <w:szCs w:val="24"/>
    </w:rPr>
  </w:style>
  <w:style w:type="paragraph" w:styleId="HeaderandFooter">
    <w:name w:val="Header and Footer"/>
    <w:basedOn w:val="Normal"/>
    <w:qFormat w:val="1"/>
    <w:pPr/>
    <w:rPr/>
  </w:style>
  <w:style w:type="paragraph" w:styleId="Header">
    <w:name w:val="Header"/>
    <w:basedOn w:val="Normal"/>
    <w:link w:val="HeaderChar"/>
    <w:uiPriority w:val="99"/>
    <w:rsid w:val="007446EA"/>
    <w:pPr>
      <w:tabs>
        <w:tab w:val="clear" w:pos="720"/>
        <w:tab w:val="center" w:leader="none" w:pos="4680"/>
        <w:tab w:val="right" w:leader="none" w:pos="9360"/>
      </w:tabs>
      <w:spacing w:after="0" w:before="0" w:line="240" w:lineRule="auto"/>
    </w:pPr>
    <w:rPr/>
  </w:style>
  <w:style w:type="paragraph" w:styleId="Footer">
    <w:name w:val="Footer"/>
    <w:basedOn w:val="Normal"/>
    <w:link w:val="FooterChar"/>
    <w:uiPriority w:val="99"/>
    <w:rsid w:val="007446EA"/>
    <w:pPr>
      <w:tabs>
        <w:tab w:val="clear" w:pos="720"/>
        <w:tab w:val="center" w:leader="none" w:pos="4680"/>
        <w:tab w:val="right" w:leader="none" w:pos="9360"/>
      </w:tabs>
      <w:spacing w:after="0" w:before="0" w:line="240" w:lineRule="auto"/>
    </w:pPr>
    <w:rPr/>
  </w:style>
  <w:style w:type="paragraph" w:styleId="BalloonText">
    <w:name w:val="Balloon Text"/>
    <w:basedOn w:val="Normal"/>
    <w:link w:val="BalloonTextChar"/>
    <w:uiPriority w:val="99"/>
    <w:semiHidden w:val="1"/>
    <w:qFormat w:val="1"/>
    <w:rsid w:val="007446EA"/>
    <w:pPr>
      <w:spacing w:after="0" w:before="0" w:line="240" w:lineRule="auto"/>
    </w:pPr>
    <w:rPr>
      <w:rFonts w:ascii="Tahoma" w:cs="Tahoma" w:hAnsi="Tahoma"/>
      <w:sz w:val="16"/>
      <w:szCs w:val="16"/>
    </w:rPr>
  </w:style>
  <w:style w:type="paragraph" w:styleId="TableContents">
    <w:name w:val="Table Contents"/>
    <w:basedOn w:val="Normal"/>
    <w:qFormat w:val="1"/>
    <w:pPr>
      <w:widowControl w:val="0"/>
      <w:suppressLineNumbers w:val="1"/>
    </w:pPr>
    <w:rPr/>
  </w:style>
  <w:style w:type="paragraph" w:styleId="TableHeading">
    <w:name w:val="Table Heading"/>
    <w:basedOn w:val="TableContents"/>
    <w:qFormat w:val="1"/>
    <w:pPr>
      <w:suppressLineNumbers w:val="1"/>
      <w:jc w:val="center"/>
    </w:pPr>
    <w:rPr>
      <w:b w:val="1"/>
      <w:bCs w:val="1"/>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table" w:styleId="TableGrid">
    <w:name w:val="Table Grid"/>
    <w:basedOn w:val="TableNormal"/>
    <w:uiPriority w:val="99"/>
    <w:rsid w:val="007446EA"/>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28.0" w:type="dxa"/>
        <w:bottom w:w="28.0" w:type="dxa"/>
        <w:right w:w="2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OrCGdVYEoNW6liZbBkQXGJcENA==">CgMxLjA4AHIhMW1acW9MNUFhV21SRmtvanltMzIyWVF6dHVWbE5Fdkg4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cp:coreProperties>
</file>

<file path=docProps/custom.xml><?xml version="1.0" encoding="utf-8"?>
<Properties xmlns="http://schemas.openxmlformats.org/officeDocument/2006/custom-properties" xmlns:vt="http://schemas.openxmlformats.org/officeDocument/2006/docPropsVTypes"/>
</file>