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KẾ HOẠCH MUA SẮM TÀI SẢN CỐ ĐỊNH NĂM ...</w:t>
      </w:r>
    </w:p>
    <w:p w:rsidR="00000000" w:rsidDel="00000000" w:rsidP="00000000" w:rsidRDefault="00000000" w:rsidRPr="00000000" w14:paraId="00000002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(Ban hành kèm theo Thông tư số 15/2019/TT-BTC ngày 18/3/2019 của Bộ Tài chính)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I. Kế hoạch mua sắm tài sản cố định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Đơn vị tính: ....... đồng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</w:t>
        <w:tab/>
        <w:t xml:space="preserve"> </w:t>
        <w:tab/>
        <w:t xml:space="preserve"> </w:t>
        <w:tab/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Nội dung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Đơn vị tính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Số lượng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Đơn giá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Thành tiền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Ghi chú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Chi tiết</w:t>
              <w:tab/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Tổng cộng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</w:t>
        <w:tab/>
        <w:t xml:space="preserve">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II. Thuyết minh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- Về tình hình tài sản hiện có.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- Dự kiến kế hoạch mua sắm tài sản cố định trong năm (nêu rõ lý do, sự cần thiết).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