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22" w:name="hợp-đồng-mua-bán-hàng-hóa"/>
    <w:p>
      <w:pPr>
        <w:pStyle w:val="Heading1"/>
      </w:pPr>
      <w:r>
        <w:t xml:space="preserve">HỢP ĐỒNG MUA BÁN HÀNG HÓA</w:t>
      </w:r>
    </w:p>
    <w:bookmarkStart w:id="9" w:name="có-đặt-cọc-và-thanh-toán-trả-chậm"/>
    <w:p>
      <w:pPr>
        <w:pStyle w:val="Heading2"/>
      </w:pPr>
      <w:r>
        <w:t xml:space="preserve">(Có đặt cọc và thanh toán trả chậm)</w:t>
      </w:r>
    </w:p>
    <w:p>
      <w:pPr>
        <w:pStyle w:val="FirstParagraph"/>
      </w:pPr>
      <w:r>
        <w:rPr>
          <w:b/>
          <w:bCs/>
        </w:rPr>
        <w:t xml:space="preserve">Số: ……./HĐMB</w:t>
      </w:r>
    </w:p>
    <w:p>
      <w:pPr>
        <w:pStyle w:val="Compact"/>
        <w:numPr>
          <w:ilvl w:val="0"/>
          <w:numId w:val="1001"/>
        </w:numPr>
      </w:pPr>
      <w:r>
        <w:t xml:space="preserve">Căn cứ Bộ luật Dân sự số 91/2015/QH13;</w:t>
      </w:r>
    </w:p>
    <w:p>
      <w:pPr>
        <w:pStyle w:val="Compact"/>
        <w:numPr>
          <w:ilvl w:val="0"/>
          <w:numId w:val="1001"/>
        </w:numPr>
      </w:pPr>
      <w:r>
        <w:t xml:space="preserve">Căn cứ Luật Thương mại số 36/2005/QH11;</w:t>
      </w:r>
    </w:p>
    <w:p>
      <w:pPr>
        <w:pStyle w:val="Compact"/>
        <w:numPr>
          <w:ilvl w:val="0"/>
          <w:numId w:val="1001"/>
        </w:numPr>
      </w:pPr>
      <w:r>
        <w:t xml:space="preserve">Căn cứ nhu cầu và khả năng của hai bên.</w:t>
      </w:r>
    </w:p>
    <w:p>
      <w:pPr>
        <w:pStyle w:val="FirstParagraph"/>
      </w:pPr>
      <w:r>
        <w:t xml:space="preserve">Hôm nay, ngày ….. tháng ….. năm 20….., tại ………………………………………………………</w:t>
      </w:r>
    </w:p>
    <w:p>
      <w:pPr>
        <w:pStyle w:val="BodyText"/>
      </w:pPr>
      <w:r>
        <w:rPr>
          <w:b/>
          <w:bCs/>
        </w:rPr>
        <w:t xml:space="preserve">BÊN BÁN (Bên A):</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Số tài khoản: …………………………. tại Ngân hàng …………………………………….</w:t>
      </w:r>
    </w:p>
    <w:p>
      <w:pPr>
        <w:pStyle w:val="BodyText"/>
      </w:pPr>
      <w:r>
        <w:t xml:space="preserve">Đại diện: Ông/Bà ………………………………… Chức vụ: …………………………………</w:t>
      </w:r>
    </w:p>
    <w:p>
      <w:pPr>
        <w:pStyle w:val="BodyText"/>
      </w:pPr>
      <w:r>
        <w:rPr>
          <w:b/>
          <w:bCs/>
        </w:rPr>
        <w:t xml:space="preserve">BÊN MUA (Bên B):</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Số tài khoản: …………………………. tại Ngân hàng …………………………………….</w:t>
      </w:r>
    </w:p>
    <w:p>
      <w:pPr>
        <w:pStyle w:val="BodyText"/>
      </w:pPr>
      <w:r>
        <w:t xml:space="preserve">Đại diện: Ông/Bà ………………………………… Chức vụ: …………………………………</w:t>
      </w:r>
    </w:p>
    <w:p>
      <w:pPr>
        <w:pStyle w:val="BodyText"/>
      </w:pPr>
      <w:r>
        <w:t xml:space="preserve">Hai bên thống nhất ký kết hợp đồng với các điều khoản sau:</w:t>
      </w:r>
    </w:p>
    <w:bookmarkEnd w:id="9"/>
    <w:bookmarkStart w:id="10" w:name="điều-1.-đối-tượng-hợp-đồng"/>
    <w:p>
      <w:pPr>
        <w:pStyle w:val="Heading2"/>
      </w:pPr>
      <w:r>
        <w:t xml:space="preserve">ĐIỀU 1. ĐỐI TƯỢNG HỢP ĐỒNG</w:t>
      </w:r>
    </w:p>
    <w:p>
      <w:pPr>
        <w:pStyle w:val="FirstParagraph"/>
      </w:pPr>
      <w:r>
        <w:t xml:space="preserve">1.1. Bên A đồng ý bán và Bên B đồng ý mua hàng hóa sau:</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Tên hàng hóa</w:t>
            </w:r>
          </w:p>
        </w:tc>
        <w:tc>
          <w:tcPr/>
          <w:p>
            <w:pPr>
              <w:pStyle w:val="Compact"/>
            </w:pPr>
            <w:r>
              <w:t xml:space="preserve">Quy cách, xuất xứ</w:t>
            </w:r>
          </w:p>
        </w:tc>
        <w:tc>
          <w:tcPr/>
          <w:p>
            <w:pPr>
              <w:pStyle w:val="Compact"/>
            </w:pPr>
            <w:r>
              <w:t xml:space="preserve">ĐVT</w:t>
            </w:r>
          </w:p>
        </w:tc>
        <w:tc>
          <w:tcPr/>
          <w:p>
            <w:pPr>
              <w:pStyle w:val="Compact"/>
            </w:pPr>
            <w:r>
              <w:t xml:space="preserve">Số lượng</w:t>
            </w:r>
          </w:p>
        </w:tc>
        <w:tc>
          <w:tcPr/>
          <w:p>
            <w:pPr>
              <w:pStyle w:val="Compact"/>
            </w:pPr>
            <w:r>
              <w:t xml:space="preserve">Đơn giá</w:t>
            </w:r>
          </w:p>
        </w:tc>
        <w:tc>
          <w:tcPr/>
          <w:p>
            <w:pPr>
              <w:pStyle w:val="Compact"/>
            </w:pPr>
            <w:r>
              <w:t xml:space="preserve">Thành tiền</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Cộng</w:t>
            </w: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Thuế GTGT …..%</w:t>
            </w: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Tổng cộng</w:t>
            </w:r>
          </w:p>
        </w:tc>
        <w:tc>
          <w:tcPr/>
          <w:p>
            <w:pPr>
              <w:pStyle w:val="Compact"/>
            </w:pPr>
          </w:p>
        </w:tc>
      </w:tr>
    </w:tbl>
    <w:p>
      <w:pPr>
        <w:pStyle w:val="BodyText"/>
      </w:pPr>
      <w:r>
        <w:t xml:space="preserve">1.2. Tổng giá trị hợp đồng: ……………………………. đồng.</w:t>
      </w:r>
    </w:p>
    <w:p>
      <w:pPr>
        <w:pStyle w:val="BodyText"/>
      </w:pPr>
      <w:r>
        <w:t xml:space="preserve">Bằng chữ: …………………………………………………………………………………………</w:t>
      </w:r>
    </w:p>
    <w:p>
      <w:pPr>
        <w:pStyle w:val="BodyText"/>
      </w:pPr>
      <w:r>
        <w:t xml:space="preserve">1.3. Tiêu chuẩn chất lượng: ……………………………………………………………………</w:t>
      </w:r>
    </w:p>
    <w:bookmarkEnd w:id="10"/>
    <w:bookmarkStart w:id="11" w:name="điều-2.-đặt-cọc"/>
    <w:p>
      <w:pPr>
        <w:pStyle w:val="Heading2"/>
      </w:pPr>
      <w:r>
        <w:t xml:space="preserve">ĐIỀU 2. ĐẶT CỌC</w:t>
      </w:r>
    </w:p>
    <w:p>
      <w:pPr>
        <w:pStyle w:val="FirstParagraph"/>
      </w:pPr>
      <w:r>
        <w:t xml:space="preserve">2.1. Bên B đặt cọc cho Bên A số tiền: ……………………………. đồng, tương đương ….. % giá trị hợp đồng.</w:t>
      </w:r>
    </w:p>
    <w:p>
      <w:pPr>
        <w:pStyle w:val="BodyText"/>
      </w:pPr>
      <w:r>
        <w:t xml:space="preserve">Bằng chữ: …………………………………………………………………………………………</w:t>
      </w:r>
    </w:p>
    <w:p>
      <w:pPr>
        <w:pStyle w:val="BodyText"/>
      </w:pPr>
      <w:r>
        <w:t xml:space="preserve">2.2. Thời hạn đặt cọc: trong vòng ….. ngày kể từ ngày ký hợp đồng, bằng hình thức chuyển khoản.</w:t>
      </w:r>
    </w:p>
    <w:p>
      <w:pPr>
        <w:pStyle w:val="BodyText"/>
      </w:pPr>
      <w:r>
        <w:t xml:space="preserve">2.3. Tiền đặt cọc được trừ vào đợt thanh toán ……………. theo lịch tại Điều 3.</w:t>
      </w:r>
    </w:p>
    <w:p>
      <w:pPr>
        <w:pStyle w:val="BodyText"/>
      </w:pPr>
      <w:r>
        <w:t xml:space="preserve">2.4. Xử lý tiền đặt cọc:</w:t>
      </w:r>
    </w:p>
    <w:p>
      <w:pPr>
        <w:numPr>
          <w:ilvl w:val="0"/>
          <w:numId w:val="1002"/>
        </w:numPr>
      </w:pPr>
      <w:r>
        <w:t xml:space="preserve">Nếu hai bên thực hiện đầy đủ hợp đồng, tiền đặt cọc được trừ vào giá trị thanh toán;</w:t>
      </w:r>
    </w:p>
    <w:p>
      <w:pPr>
        <w:numPr>
          <w:ilvl w:val="0"/>
          <w:numId w:val="1002"/>
        </w:numPr>
      </w:pPr>
      <w:r>
        <w:t xml:space="preserve">Nếu Bên B từ chối thực hiện hợp đồng, Bên B mất số tiền đặt cọc;</w:t>
      </w:r>
    </w:p>
    <w:p>
      <w:pPr>
        <w:numPr>
          <w:ilvl w:val="0"/>
          <w:numId w:val="1002"/>
        </w:numPr>
      </w:pPr>
      <w:r>
        <w:t xml:space="preserve">Nếu Bên A từ chối thực hiện hợp đồng, Bên A phải trả lại số tiền đặt cọc và một khoản tiền tương đương giá trị tiền đặt cọc cho Bên B;</w:t>
      </w:r>
    </w:p>
    <w:p>
      <w:pPr>
        <w:numPr>
          <w:ilvl w:val="0"/>
          <w:numId w:val="1002"/>
        </w:numPr>
      </w:pPr>
      <w:r>
        <w:t xml:space="preserve">Trường hợp không thực hiện được hợp đồng do sự kiện bất khả kháng, Bên A hoàn trả tiền đặt cọc cho Bên B mà không phải trả thêm khoản nào.</w:t>
      </w:r>
    </w:p>
    <w:bookmarkEnd w:id="11"/>
    <w:bookmarkStart w:id="12" w:name="điều-3.-lịch-thanh-toán"/>
    <w:p>
      <w:pPr>
        <w:pStyle w:val="Heading2"/>
      </w:pPr>
      <w:r>
        <w:t xml:space="preserve">ĐIỀU 3. LỊCH THANH TOÁN</w:t>
      </w:r>
    </w:p>
    <w:p>
      <w:pPr>
        <w:pStyle w:val="FirstParagraph"/>
      </w:pPr>
      <w:r>
        <w:t xml:space="preserve">3.1. Hình thức thanh toán: chuyển khoản. Hai bên thống nhất thanh toán không dùng tiền mặt.</w:t>
      </w:r>
    </w:p>
    <w:p>
      <w:pPr>
        <w:pStyle w:val="BodyText"/>
      </w:pPr>
      <w:r>
        <w:t xml:space="preserve">3.2. Lịch thanh toán: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Đợt</w:t>
            </w:r>
          </w:p>
        </w:tc>
        <w:tc>
          <w:tcPr/>
          <w:p>
            <w:pPr>
              <w:pStyle w:val="Compact"/>
            </w:pPr>
            <w:r>
              <w:t xml:space="preserve">Tỷ lệ</w:t>
            </w:r>
          </w:p>
        </w:tc>
        <w:tc>
          <w:tcPr/>
          <w:p>
            <w:pPr>
              <w:pStyle w:val="Compact"/>
            </w:pPr>
            <w:r>
              <w:t xml:space="preserve">Số tiền (đồng)</w:t>
            </w:r>
          </w:p>
        </w:tc>
        <w:tc>
          <w:tcPr/>
          <w:p>
            <w:pPr>
              <w:pStyle w:val="Compact"/>
            </w:pPr>
            <w:r>
              <w:t xml:space="preserve">Điều kiện thanh toán</w:t>
            </w:r>
          </w:p>
        </w:tc>
        <w:tc>
          <w:tcPr/>
          <w:p>
            <w:pPr>
              <w:pStyle w:val="Compact"/>
            </w:pPr>
            <w:r>
              <w:t xml:space="preserve">Thời hạn</w:t>
            </w:r>
          </w:p>
        </w:tc>
      </w:tr>
      <w:tr>
        <w:tc>
          <w:tcPr/>
          <w:p>
            <w:pPr>
              <w:pStyle w:val="Compact"/>
            </w:pPr>
            <w:r>
              <w:t xml:space="preserve">1</w:t>
            </w:r>
          </w:p>
        </w:tc>
        <w:tc>
          <w:tcPr/>
          <w:p>
            <w:pPr>
              <w:pStyle w:val="Compact"/>
            </w:pPr>
          </w:p>
        </w:tc>
        <w:tc>
          <w:tcPr/>
          <w:p>
            <w:pPr>
              <w:pStyle w:val="Compact"/>
            </w:pPr>
          </w:p>
        </w:tc>
        <w:tc>
          <w:tcPr/>
          <w:p>
            <w:pPr>
              <w:pStyle w:val="Compact"/>
            </w:pPr>
            <w:r>
              <w:t xml:space="preserve">Đặt cọc sau khi ký hợp đồng</w:t>
            </w: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r>
              <w:t xml:space="preserve">Sau khi giao hàng đợt 1 và ký Biên bản giao nhận</w:t>
            </w: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r>
              <w:t xml:space="preserve">Sau khi giao đủ hàng và ký Biên bản nghiệm thu</w:t>
            </w:r>
          </w:p>
        </w:tc>
        <w:tc>
          <w:tcPr/>
          <w:p>
            <w:pPr>
              <w:pStyle w:val="Compact"/>
            </w:pPr>
          </w:p>
        </w:tc>
      </w:tr>
      <w:tr>
        <w:tc>
          <w:tcPr/>
          <w:p>
            <w:pPr>
              <w:pStyle w:val="Compact"/>
            </w:pPr>
            <w:r>
              <w:t xml:space="preserve">4</w:t>
            </w:r>
          </w:p>
        </w:tc>
        <w:tc>
          <w:tcPr/>
          <w:p>
            <w:pPr>
              <w:pStyle w:val="Compact"/>
            </w:pPr>
          </w:p>
        </w:tc>
        <w:tc>
          <w:tcPr/>
          <w:p>
            <w:pPr>
              <w:pStyle w:val="Compact"/>
            </w:pPr>
          </w:p>
        </w:tc>
        <w:tc>
          <w:tcPr/>
          <w:p>
            <w:pPr>
              <w:pStyle w:val="Compact"/>
            </w:pPr>
            <w:r>
              <w:t xml:space="preserve">Sau khi hết thời hạn bảo hành</w:t>
            </w:r>
          </w:p>
        </w:tc>
        <w:tc>
          <w:tcPr/>
          <w:p>
            <w:pPr>
              <w:pStyle w:val="Compact"/>
            </w:pPr>
          </w:p>
        </w:tc>
      </w:tr>
    </w:tbl>
    <w:p>
      <w:pPr>
        <w:pStyle w:val="BodyText"/>
      </w:pPr>
      <w:r>
        <w:t xml:space="preserve">3.3. Bên A xuất hóa đơn điện tử hợp lệ tương ứng với từng đợt giao hàng theo quy định của pháp luật.</w:t>
      </w:r>
    </w:p>
    <w:p>
      <w:pPr>
        <w:pStyle w:val="BodyText"/>
      </w:pPr>
      <w:r>
        <w:t xml:space="preserve">3.4. Bên B chậm thanh toán quá ….. ngày, Bên A có quyền tạm dừng giao hàng đợt tiếp theo mà không bị coi là vi phạm hợp đồng.</w:t>
      </w:r>
    </w:p>
    <w:bookmarkEnd w:id="12"/>
    <w:bookmarkStart w:id="13" w:name="điều-4.-giao-nhận-hàng-hóa"/>
    <w:p>
      <w:pPr>
        <w:pStyle w:val="Heading2"/>
      </w:pPr>
      <w:r>
        <w:t xml:space="preserve">ĐIỀU 4. GIAO NHẬN HÀNG HÓA</w:t>
      </w:r>
    </w:p>
    <w:p>
      <w:pPr>
        <w:pStyle w:val="FirstParagraph"/>
      </w:pPr>
      <w:r>
        <w:t xml:space="preserve">4.1. Lịch giao hàng:</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Đợt</w:t>
            </w:r>
          </w:p>
        </w:tc>
        <w:tc>
          <w:tcPr/>
          <w:p>
            <w:pPr>
              <w:pStyle w:val="Compact"/>
            </w:pPr>
            <w:r>
              <w:t xml:space="preserve">Nội dung hàng hóa</w:t>
            </w:r>
          </w:p>
        </w:tc>
        <w:tc>
          <w:tcPr/>
          <w:p>
            <w:pPr>
              <w:pStyle w:val="Compact"/>
            </w:pPr>
            <w:r>
              <w:t xml:space="preserve">Số lượng</w:t>
            </w:r>
          </w:p>
        </w:tc>
        <w:tc>
          <w:tcPr/>
          <w:p>
            <w:pPr>
              <w:pStyle w:val="Compact"/>
            </w:pPr>
            <w:r>
              <w:t xml:space="preserve">Thời gian giao</w:t>
            </w:r>
          </w:p>
        </w:tc>
        <w:tc>
          <w:tcPr/>
          <w:p>
            <w:pPr>
              <w:pStyle w:val="Compact"/>
            </w:pPr>
            <w:r>
              <w:t xml:space="preserve">Địa điểm giao</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r>
    </w:tbl>
    <w:p>
      <w:pPr>
        <w:pStyle w:val="BodyText"/>
      </w:pPr>
      <w:r>
        <w:t xml:space="preserve">4.2. Chi phí vận chuyển, bốc dỡ do Bên ……………. chịu.</w:t>
      </w:r>
    </w:p>
    <w:p>
      <w:pPr>
        <w:pStyle w:val="BodyText"/>
      </w:pPr>
      <w:r>
        <w:t xml:space="preserve">4.3. Mỗi đợt giao hàng, hai bên lập Biên bản giao nhận hàng có chữ ký của đại diện hai bên.</w:t>
      </w:r>
    </w:p>
    <w:p>
      <w:pPr>
        <w:pStyle w:val="BodyText"/>
      </w:pPr>
      <w:r>
        <w:t xml:space="preserve">4.4.</w:t>
      </w:r>
      <w:r>
        <w:t xml:space="preserve"> </w:t>
      </w:r>
      <w:r>
        <w:rPr>
          <w:b/>
          <w:bCs/>
        </w:rPr>
        <w:t xml:space="preserve">Thời điểm chuyển rủi ro:</w:t>
      </w:r>
      <w:r>
        <w:t xml:space="preserve"> </w:t>
      </w:r>
      <w:r>
        <w:t xml:space="preserve">rủi ro về mất mát, hư hỏng hàng hóa chuyển từ Bên A sang Bên B kể từ thời điểm hai bên ký Biên bản giao nhận của từng đợt.</w:t>
      </w:r>
    </w:p>
    <w:bookmarkEnd w:id="13"/>
    <w:bookmarkStart w:id="14" w:name="điều-5.-bảo-lưu-quyền-sở-hữu"/>
    <w:p>
      <w:pPr>
        <w:pStyle w:val="Heading2"/>
      </w:pPr>
      <w:r>
        <w:t xml:space="preserve">ĐIỀU 5. BẢO LƯU QUYỀN SỞ HỮU</w:t>
      </w:r>
    </w:p>
    <w:p>
      <w:pPr>
        <w:pStyle w:val="FirstParagraph"/>
      </w:pPr>
      <w:r>
        <w:t xml:space="preserve">5.1. Quyền sở hữu hàng hóa chỉ chuyển từ Bên A sang Bên B khi Bên B thanh toán đầy đủ giá trị hợp đồng.</w:t>
      </w:r>
    </w:p>
    <w:p>
      <w:pPr>
        <w:pStyle w:val="BodyText"/>
      </w:pPr>
      <w:r>
        <w:t xml:space="preserve">5.2. Trong thời gian chưa thanh toán đủ, Bên B không được bán, cầm cố, thế chấp hoặc định đoạt hàng hóa dưới bất kỳ hình thức nào nếu không có văn bản đồng ý của Bên A.</w:t>
      </w:r>
    </w:p>
    <w:p>
      <w:pPr>
        <w:pStyle w:val="BodyText"/>
      </w:pPr>
      <w:r>
        <w:t xml:space="preserve">5.3. Bên B có trách nhiệm bảo quản hàng hóa, mua bảo hiểm cho hàng hóa (nếu hai bên thỏa thuận) và thông báo ngay cho Bên A khi hàng hóa bị hư hỏng, mất mát hoặc bị kê biên.</w:t>
      </w:r>
    </w:p>
    <w:p>
      <w:pPr>
        <w:pStyle w:val="BodyText"/>
      </w:pPr>
      <w:r>
        <w:t xml:space="preserve">5.4. Trường hợp Bên B vi phạm nghĩa vụ thanh toán quá ….. ngày, Bên A có quyền thu hồi hàng hóa chưa được thanh toán. Việc thu hồi không làm chấm dứt nghĩa vụ bồi thường thiệt hại của Bên B.</w:t>
      </w:r>
    </w:p>
    <w:p>
      <w:pPr>
        <w:pStyle w:val="BodyText"/>
      </w:pPr>
      <w:r>
        <w:rPr>
          <w:i/>
          <w:iCs/>
        </w:rPr>
        <w:t xml:space="preserve">(Lưu ý: khoản 5.1 quy định thời điểm chuyển quyền sở hữu, khác với khoản 4.4 quy định thời điểm chuyển rủi ro. Hai nội dung này độc lập với nhau và cần giữ tách bạch.)</w:t>
      </w:r>
    </w:p>
    <w:bookmarkEnd w:id="14"/>
    <w:bookmarkStart w:id="15" w:name="điều-6.-kiểm-tra-nghiệm-thu-và-bảo-hành"/>
    <w:p>
      <w:pPr>
        <w:pStyle w:val="Heading2"/>
      </w:pPr>
      <w:r>
        <w:t xml:space="preserve">ĐIỀU 6. KIỂM TRA, NGHIỆM THU VÀ BẢO HÀNH</w:t>
      </w:r>
    </w:p>
    <w:p>
      <w:pPr>
        <w:pStyle w:val="FirstParagraph"/>
      </w:pPr>
      <w:r>
        <w:t xml:space="preserve">6.1. Bên B kiểm tra hàng hóa về số lượng, chủng loại, quy cách tại thời điểm nhận từng đợt.</w:t>
      </w:r>
    </w:p>
    <w:p>
      <w:pPr>
        <w:pStyle w:val="BodyText"/>
      </w:pPr>
      <w:r>
        <w:t xml:space="preserve">6.2. Với khiếm khuyết không thể phát hiện tại thời điểm nhận, Bên B khiếu nại trong vòng ….. ngày kể từ ngày nhận hàng.</w:t>
      </w:r>
    </w:p>
    <w:p>
      <w:pPr>
        <w:pStyle w:val="BodyText"/>
      </w:pPr>
      <w:r>
        <w:t xml:space="preserve">6.3. Sau khi giao đủ hàng, hai bên lập Biên bản nghiệm thu tổng thể.</w:t>
      </w:r>
    </w:p>
    <w:p>
      <w:pPr>
        <w:pStyle w:val="BodyText"/>
      </w:pPr>
      <w:r>
        <w:t xml:space="preserve">6.4. Thời hạn bảo hành: ….. tháng kể từ ngày ký Biên bản nghiệm thu. Phạm vi bảo hành: ……………………..</w:t>
      </w:r>
    </w:p>
    <w:bookmarkEnd w:id="15"/>
    <w:bookmarkStart w:id="16" w:name="điều-7.-quyền-và-nghĩa-vụ-của-các-bên"/>
    <w:p>
      <w:pPr>
        <w:pStyle w:val="Heading2"/>
      </w:pPr>
      <w:r>
        <w:t xml:space="preserve">ĐIỀU 7. QUYỀN VÀ NGHĨA VỤ CỦA CÁC BÊN</w:t>
      </w:r>
    </w:p>
    <w:p>
      <w:pPr>
        <w:pStyle w:val="FirstParagraph"/>
      </w:pPr>
      <w:r>
        <w:t xml:space="preserve">7.1. Bên A: giao hàng đúng lịch tại Điều 4; xuất hóa đơn hợp lệ; thực hiện bảo hành; được nhận thanh toán đúng lịch tại Điều 3; được tạm dừng giao hàng và thu hồi hàng theo Điều 3.4 và Điều 5.4.</w:t>
      </w:r>
    </w:p>
    <w:p>
      <w:pPr>
        <w:pStyle w:val="BodyText"/>
      </w:pPr>
      <w:r>
        <w:t xml:space="preserve">7.2. Bên B: đặt cọc và thanh toán đúng hạn; nhận hàng và kiểm tra trong thời hạn quy định; bảo quản hàng hóa theo Điều 5.3; được yêu cầu bảo hành.</w:t>
      </w:r>
    </w:p>
    <w:bookmarkEnd w:id="16"/>
    <w:bookmarkStart w:id="17" w:name="X46843e780a2d2151fb7490ea975b0b067a03c44"/>
    <w:p>
      <w:pPr>
        <w:pStyle w:val="Heading2"/>
      </w:pPr>
      <w:r>
        <w:t xml:space="preserve">ĐIỀU 8. PHẠT VI PHẠM VÀ BỒI THƯỜNG THIỆT HẠI</w:t>
      </w:r>
    </w:p>
    <w:p>
      <w:pPr>
        <w:pStyle w:val="FirstParagraph"/>
      </w:pPr>
      <w:r>
        <w:t xml:space="preserve">8.1. Bên A chậm giao hàng chịu phạt ….. % giá trị phần hàng hóa giao chậm cho mỗi ….. ngày chậm.</w:t>
      </w:r>
      <w:r>
        <w:t xml:space="preserve"> </w:t>
      </w:r>
      <w:r>
        <w:rPr>
          <w:b/>
          <w:bCs/>
        </w:rPr>
        <w:t xml:space="preserve">Tổng mức phạt không quá 8% giá trị phần nghĩa vụ hợp đồng bị vi phạm.</w:t>
      </w:r>
    </w:p>
    <w:p>
      <w:pPr>
        <w:pStyle w:val="BodyText"/>
      </w:pPr>
      <w:r>
        <w:t xml:space="preserve">8.2. Bên B chậm thanh toán chịu phạt ….. % giá trị khoản tiền chậm thanh toán cho mỗi ….. ngày chậm.</w:t>
      </w:r>
      <w:r>
        <w:t xml:space="preserve"> </w:t>
      </w:r>
      <w:r>
        <w:rPr>
          <w:b/>
          <w:bCs/>
        </w:rPr>
        <w:t xml:space="preserve">Tổng mức phạt không quá 8% giá trị phần nghĩa vụ hợp đồng bị vi phạm.</w:t>
      </w:r>
    </w:p>
    <w:p>
      <w:pPr>
        <w:pStyle w:val="BodyText"/>
      </w:pPr>
      <w:r>
        <w:t xml:space="preserve">8.3. Ngoài mức phạt nêu trên, bên vi phạm còn phải bồi thường thiệt hại thực tế phát sinh theo quy định của pháp luật.</w:t>
      </w:r>
    </w:p>
    <w:bookmarkEnd w:id="17"/>
    <w:bookmarkStart w:id="18" w:name="điều-9.-chấm-dứt-hợp-đồng"/>
    <w:p>
      <w:pPr>
        <w:pStyle w:val="Heading2"/>
      </w:pPr>
      <w:r>
        <w:t xml:space="preserve">ĐIỀU 9. CHẤM DỨT HỢP ĐỒNG</w:t>
      </w:r>
    </w:p>
    <w:p>
      <w:pPr>
        <w:pStyle w:val="FirstParagraph"/>
      </w:pPr>
      <w:r>
        <w:t xml:space="preserve">9.1. Hợp đồng chấm dứt khi hai bên hoàn thành đầy đủ nghĩa vụ hoặc theo thỏa thuận bằng văn bản.</w:t>
      </w:r>
    </w:p>
    <w:p>
      <w:pPr>
        <w:pStyle w:val="BodyText"/>
      </w:pPr>
      <w:r>
        <w:t xml:space="preserve">9.2. Bên A được đơn phương chấm dứt hợp đồng khi Bên B chậm thanh toán quá ….. ngày. Trong trường hợp này, Bên A có quyền thu hồi hàng hóa chưa thanh toán và Bên B mất tiền đặt cọc.</w:t>
      </w:r>
    </w:p>
    <w:p>
      <w:pPr>
        <w:pStyle w:val="BodyText"/>
      </w:pPr>
      <w:r>
        <w:t xml:space="preserve">9.3. Bên B được đơn phương chấm dứt hợp đồng khi Bên A chậm giao hàng quá ….. ngày. Trong trường hợp này, Bên A hoàn trả tiền đặt cọc và một khoản tiền tương đương theo khoản 2.4 điểm c.</w:t>
      </w:r>
    </w:p>
    <w:bookmarkEnd w:id="18"/>
    <w:bookmarkStart w:id="19" w:name="điều-10.-bất-khả-kháng"/>
    <w:p>
      <w:pPr>
        <w:pStyle w:val="Heading2"/>
      </w:pPr>
      <w:r>
        <w:t xml:space="preserve">ĐIỀU 10. BẤT KHẢ KHÁNG</w:t>
      </w:r>
    </w:p>
    <w:p>
      <w:pPr>
        <w:pStyle w:val="FirstParagraph"/>
      </w:pPr>
      <w:r>
        <w:t xml:space="preserve">Các bên không phải chịu trách nhiệm về việc không thực hiện nghĩa vụ do sự kiện bất khả kháng. Bên gặp sự kiện phải thông báo bằng văn bản trong vòng ….. ngày kèm tài liệu chứng minh.</w:t>
      </w:r>
    </w:p>
    <w:bookmarkEnd w:id="19"/>
    <w:bookmarkStart w:id="20" w:name="điều-11.-giải-quyết-tranh-chấp"/>
    <w:p>
      <w:pPr>
        <w:pStyle w:val="Heading2"/>
      </w:pPr>
      <w:r>
        <w:t xml:space="preserve">ĐIỀU 11. GIẢI QUYẾT TRANH CHẤP</w:t>
      </w:r>
    </w:p>
    <w:p>
      <w:pPr>
        <w:pStyle w:val="FirstParagraph"/>
      </w:pPr>
      <w:r>
        <w:t xml:space="preserve">11.1. Tranh chấp được giải quyết trước hết bằng thương lượng trong thời hạn ….. ngày kể từ ngày một bên gửi thông báo bằng văn bản.</w:t>
      </w:r>
    </w:p>
    <w:p>
      <w:pPr>
        <w:pStyle w:val="BodyText"/>
      </w:pPr>
      <w:r>
        <w:t xml:space="preserve">11.2. Trường hợp thương lượng không thành, tranh chấp được giải quyết tại:</w:t>
      </w:r>
    </w:p>
    <w:p>
      <w:pPr>
        <w:pStyle w:val="BodyText"/>
      </w:pPr>
      <w:r>
        <w:t xml:space="preserve">☐ Tòa án nhân dân có thẩm quyền theo quy định của pháp luật.</w:t>
      </w:r>
    </w:p>
    <w:p>
      <w:pPr>
        <w:pStyle w:val="BodyText"/>
      </w:pPr>
      <w:r>
        <w:t xml:space="preserve">☐ Trung tâm Trọng tài ………………………………………………………. theo quy tắc tố tụng trọng tài của trung tâm này.</w:t>
      </w:r>
    </w:p>
    <w:p>
      <w:pPr>
        <w:pStyle w:val="BodyText"/>
      </w:pPr>
      <w:r>
        <w:rPr>
          <w:i/>
          <w:iCs/>
        </w:rPr>
        <w:t xml:space="preserve">(Hai bên chỉ chọn một trong hai phương án trên)</w:t>
      </w:r>
    </w:p>
    <w:bookmarkEnd w:id="20"/>
    <w:bookmarkStart w:id="21" w:name="điều-12.-điều-khoản-chung"/>
    <w:p>
      <w:pPr>
        <w:pStyle w:val="Heading2"/>
      </w:pPr>
      <w:r>
        <w:t xml:space="preserve">ĐIỀU 12. ĐIỀU KHOẢN CHUNG</w:t>
      </w:r>
    </w:p>
    <w:p>
      <w:pPr>
        <w:pStyle w:val="FirstParagraph"/>
      </w:pPr>
      <w:r>
        <w:t xml:space="preserve">12.1. Hợp đồng có hiệu lực kể từ ngày ký đến khi hai bên hoàn thành đầy đủ nghĩa vụ.</w:t>
      </w:r>
    </w:p>
    <w:p>
      <w:pPr>
        <w:pStyle w:val="BodyText"/>
      </w:pPr>
      <w:r>
        <w:t xml:space="preserve">12.2. Mọi sửa đổi, bổ sung phải lập thành phụ lục có chữ ký của đại diện có thẩm quyền hai bên.</w:t>
      </w:r>
    </w:p>
    <w:p>
      <w:pPr>
        <w:pStyle w:val="BodyText"/>
      </w:pPr>
      <w:r>
        <w:t xml:space="preserve">12.3. Hợp đồng lập thành 02 bản có giá trị pháp lý như nhau, mỗi bên giữ 01 bản.</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rPr>
                <w:i/>
                <w:iCs/>
              </w:rPr>
              <w:t xml:space="preserve">(Ký, ghi rõ họ tên, đóng dấu)</w:t>
            </w:r>
          </w:p>
        </w:tc>
        <w:tc>
          <w:tcPr/>
          <w:p>
            <w:pPr>
              <w:pStyle w:val="Compact"/>
            </w:pPr>
            <w:r>
              <w:rPr>
                <w:i/>
                <w:iCs/>
              </w:rPr>
              <w:t xml:space="preserve">(Ký, ghi rõ họ tên, đóng dấu)</w:t>
            </w: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quan trọng khi sử dụng biểu mẫu</w:t>
      </w:r>
    </w:p>
    <w:p>
      <w:pPr>
        <w:numPr>
          <w:ilvl w:val="0"/>
          <w:numId w:val="1003"/>
        </w:numPr>
      </w:pPr>
      <w:r>
        <w:rPr>
          <w:b/>
          <w:bCs/>
        </w:rPr>
        <w:t xml:space="preserve">Phân biệt chuyển rủi ro và chuyển quyền sở hữu.</w:t>
      </w:r>
      <w:r>
        <w:t xml:space="preserve"> </w:t>
      </w:r>
      <w:r>
        <w:t xml:space="preserve">Khoản 4.4 quy định rủi ro chuyển khi giao hàng, khoản 5.1 quy định quyền sở hữu chỉ chuyển khi thanh toán đủ. Hai điều này khác nhau và cùng tồn tại được: Bên B chịu rủi ro hàng hóa từ khi nhận, nhưng chưa có quyền định đoạt cho đến khi trả hết tiền. Đây là cách bảo vệ bên bán khi bán trả chậm.</w:t>
      </w:r>
    </w:p>
    <w:p>
      <w:pPr>
        <w:numPr>
          <w:ilvl w:val="0"/>
          <w:numId w:val="1003"/>
        </w:numPr>
      </w:pPr>
      <w:r>
        <w:rPr>
          <w:b/>
          <w:bCs/>
        </w:rPr>
        <w:t xml:space="preserve">Điều 5 chỉ phát huy khi hàng hóa nhận diện được.</w:t>
      </w:r>
      <w:r>
        <w:t xml:space="preserve"> </w:t>
      </w:r>
      <w:r>
        <w:t xml:space="preserve">Với hàng có số khung, số máy, số serial thì dễ thu hồi. Với hàng rời đã trộn lẫn vào kho của bên mua thì điều khoản này khó thực hiện trên thực tế. Cân nhắc bổ sung yêu cầu bên mua bảo quản riêng và đánh dấu hàng chưa thanh toán.</w:t>
      </w:r>
    </w:p>
    <w:p>
      <w:pPr>
        <w:numPr>
          <w:ilvl w:val="0"/>
          <w:numId w:val="1003"/>
        </w:numPr>
      </w:pPr>
      <w:r>
        <w:rPr>
          <w:b/>
          <w:bCs/>
        </w:rPr>
        <w:t xml:space="preserve">Trần phạt 8%</w:t>
      </w:r>
      <w:r>
        <w:t xml:space="preserve"> </w:t>
      </w:r>
      <w:r>
        <w:t xml:space="preserve">theo Điều 301 Luật Thương mại 2005 áp dụng cho tổng mức phạt, kể cả khi hợp đồng có nhiều loại vi phạm. Ghi cao hơn thì phần vượt không được chấp nhận.</w:t>
      </w:r>
    </w:p>
    <w:p>
      <w:pPr>
        <w:numPr>
          <w:ilvl w:val="0"/>
          <w:numId w:val="1003"/>
        </w:numPr>
      </w:pPr>
      <w:r>
        <w:rPr>
          <w:b/>
          <w:bCs/>
        </w:rPr>
        <w:t xml:space="preserve">Điều khoản đặt cọc theo Bộ luật Dân sự:</w:t>
      </w:r>
      <w:r>
        <w:t xml:space="preserve"> </w:t>
      </w:r>
      <w:r>
        <w:t xml:space="preserve">bên nhận đặt cọc từ chối thực hiện hợp đồng phải trả lại tiền đặt cọc và một khoản tiền tương đương, trừ khi hai bên có thỏa thuận khác. Nếu muốn áp dụng mức khác, phải ghi rõ trong hợp đồng.</w:t>
      </w:r>
    </w:p>
    <w:p>
      <w:pPr>
        <w:numPr>
          <w:ilvl w:val="0"/>
          <w:numId w:val="1003"/>
        </w:numPr>
      </w:pPr>
      <w:r>
        <w:t xml:space="preserve">Với hợp đồng trả chậm giá trị lớn, cân nhắc bổ sung biện pháp bảo đảm khác như bảo lãnh ngân hàng hoặc thế chấp tài sản, thay vì chỉ dựa vào bảo lưu quyền sở hữu.</w:t>
      </w:r>
    </w:p>
    <w:p>
      <w:pPr>
        <w:numPr>
          <w:ilvl w:val="0"/>
          <w:numId w:val="1003"/>
        </w:numPr>
      </w:pPr>
      <w:r>
        <w:t xml:space="preserve">Biểu mẫu mang tính tham khảo, không thay thế tư vấn pháp lý. Với giao dịch giá trị lớn nên có luật sư rà soát trước khi ký.</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21">
    <w:nsid w:val="00A9972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2026-08-13T13:39:43Z</dcterms:created>
  <dcterms:modified xsi:type="dcterms:W3CDTF">2026-08-13T13:39:43Z</dcterms:modified>
</cp:coreProperties>
</file>

<file path=docProps/custom.xml><?xml version="1.0" encoding="utf-8"?>
<Properties xmlns="http://schemas.openxmlformats.org/officeDocument/2006/custom-properties" xmlns:vt="http://schemas.openxmlformats.org/officeDocument/2006/docPropsVTypes"/>
</file>