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điều-khoản-và-điều-kiện-giao-dịch"/>
    <w:p>
      <w:pPr>
        <w:pStyle w:val="Heading1"/>
      </w:pPr>
      <w:r>
        <w:t xml:space="preserve">ĐIỀU KHOẢN VÀ ĐIỀU KIỆN GIAO DỊCH</w:t>
      </w:r>
    </w:p>
    <w:bookmarkStart w:id="9" w:name="X39a032a7b61563810e86f3ffde40475e297c1c8"/>
    <w:p>
      <w:pPr>
        <w:pStyle w:val="Heading2"/>
      </w:pPr>
      <w:r>
        <w:t xml:space="preserve">Hợp đồng thương mại điện tử với người tiêu dùng</w:t>
      </w:r>
    </w:p>
    <w:p>
      <w:pPr>
        <w:pStyle w:val="FirstParagraph"/>
      </w:pPr>
      <w:r>
        <w:t xml:space="preserve">Áp dụng cho các đơn hàng đặt tại: ……………………………………………………….</w:t>
      </w:r>
    </w:p>
    <w:p>
      <w:pPr>
        <w:pStyle w:val="BodyText"/>
      </w:pPr>
      <w:r>
        <w:rPr>
          <w:i/>
          <w:iCs/>
        </w:rPr>
        <w:t xml:space="preserve">(website hoặc ứng dụng bán hàng)</w:t>
      </w:r>
    </w:p>
    <w:p>
      <w:pPr>
        <w:pStyle w:val="BodyText"/>
      </w:pPr>
      <w:r>
        <w:t xml:space="preserve">Cập nhật lần cuối: ngày ……../……../…………..</w:t>
      </w:r>
    </w:p>
    <w:p>
      <w:r>
        <w:pict>
          <v:rect style="width:0;height:1.5pt" o:hralign="center" o:hrstd="t" o:hr="t"/>
        </w:pict>
      </w:r>
    </w:p>
    <w:bookmarkEnd w:id="9"/>
    <w:bookmarkStart w:id="10" w:name="thông-tin-về-bên-bán"/>
    <w:p>
      <w:pPr>
        <w:pStyle w:val="Heading2"/>
      </w:pPr>
      <w:r>
        <w:t xml:space="preserve">1. THÔNG TIN VỀ BÊN BÁN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Nội dung</w:t>
            </w:r>
          </w:p>
        </w:tc>
        <w:tc>
          <w:tcPr/>
          <w:p>
            <w:pPr>
              <w:pStyle w:val="Compact"/>
            </w:pPr>
            <w:r>
              <w:t xml:space="preserve">Thông tin</w:t>
            </w:r>
          </w:p>
        </w:tc>
      </w:tr>
      <w:tr>
        <w:tc>
          <w:tcPr/>
          <w:p>
            <w:pPr>
              <w:pStyle w:val="Compact"/>
            </w:pPr>
            <w:r>
              <w:t xml:space="preserve">Tên doanh nghiệp</w:t>
            </w:r>
          </w:p>
        </w:tc>
        <w:tc>
          <w:tcPr/>
          <w:p>
            <w:pPr>
              <w:pStyle w:val="Compact"/>
            </w:pPr>
          </w:p>
        </w:tc>
      </w:tr>
      <w:tr>
        <w:tc>
          <w:tcPr/>
          <w:p>
            <w:pPr>
              <w:pStyle w:val="Compact"/>
            </w:pPr>
            <w:r>
              <w:t xml:space="preserve">Mã số doanh nghiệp / Mã số thuế</w:t>
            </w:r>
          </w:p>
        </w:tc>
        <w:tc>
          <w:tcPr/>
          <w:p>
            <w:pPr>
              <w:pStyle w:val="Compact"/>
            </w:pPr>
          </w:p>
        </w:tc>
      </w:tr>
      <w:tr>
        <w:tc>
          <w:tcPr/>
          <w:p>
            <w:pPr>
              <w:pStyle w:val="Compact"/>
            </w:pPr>
            <w:r>
              <w:t xml:space="preserve">Địa chỉ trụ sở</w:t>
            </w:r>
          </w:p>
        </w:tc>
        <w:tc>
          <w:tcPr/>
          <w:p>
            <w:pPr>
              <w:pStyle w:val="Compact"/>
            </w:pPr>
          </w:p>
        </w:tc>
      </w:tr>
      <w:tr>
        <w:tc>
          <w:tcPr/>
          <w:p>
            <w:pPr>
              <w:pStyle w:val="Compact"/>
            </w:pPr>
            <w:r>
              <w:t xml:space="preserve">Địa chỉ liên hệ</w:t>
            </w:r>
          </w:p>
        </w:tc>
        <w:tc>
          <w:tcPr/>
          <w:p>
            <w:pPr>
              <w:pStyle w:val="Compact"/>
            </w:pPr>
          </w:p>
        </w:tc>
      </w:tr>
      <w:tr>
        <w:tc>
          <w:tcPr/>
          <w:p>
            <w:pPr>
              <w:pStyle w:val="Compact"/>
            </w:pPr>
            <w:r>
              <w:t xml:space="preserve">Điện thoại</w:t>
            </w:r>
          </w:p>
        </w:tc>
        <w:tc>
          <w:tcPr/>
          <w:p>
            <w:pPr>
              <w:pStyle w:val="Compact"/>
            </w:pPr>
          </w:p>
        </w:tc>
      </w:tr>
      <w:tr>
        <w:tc>
          <w:tcPr/>
          <w:p>
            <w:pPr>
              <w:pStyle w:val="Compact"/>
            </w:pPr>
            <w:r>
              <w:t xml:space="preserve">Email</w:t>
            </w:r>
          </w:p>
        </w:tc>
        <w:tc>
          <w:tcPr/>
          <w:p>
            <w:pPr>
              <w:pStyle w:val="Compact"/>
            </w:pPr>
          </w:p>
        </w:tc>
      </w:tr>
      <w:tr>
        <w:tc>
          <w:tcPr/>
          <w:p>
            <w:pPr>
              <w:pStyle w:val="Compact"/>
            </w:pPr>
            <w:r>
              <w:t xml:space="preserve">Người đại diện theo pháp luật</w:t>
            </w:r>
          </w:p>
        </w:tc>
        <w:tc>
          <w:tcPr/>
          <w:p>
            <w:pPr>
              <w:pStyle w:val="Compact"/>
            </w:pPr>
          </w:p>
        </w:tc>
      </w:tr>
      <w:tr>
        <w:tc>
          <w:tcPr/>
          <w:p>
            <w:pPr>
              <w:pStyle w:val="Compact"/>
            </w:pPr>
            <w:r>
              <w:t xml:space="preserve">Số đăng ký / thông báo website thương mại điện tử với cơ quan quản lý</w:t>
            </w:r>
          </w:p>
        </w:tc>
        <w:tc>
          <w:tcPr/>
          <w:p>
            <w:pPr>
              <w:pStyle w:val="Compact"/>
            </w:pPr>
          </w:p>
        </w:tc>
      </w:tr>
    </w:tbl>
    <w:bookmarkEnd w:id="10"/>
    <w:bookmarkStart w:id="11" w:name="giải-thích-từ-ngữ"/>
    <w:p>
      <w:pPr>
        <w:pStyle w:val="Heading2"/>
      </w:pPr>
      <w:r>
        <w:t xml:space="preserve">2. GIẢI THÍCH TỪ NGỮ</w:t>
      </w:r>
    </w:p>
    <w:p>
      <w:pPr>
        <w:pStyle w:val="FirstParagraph"/>
      </w:pPr>
      <w:r>
        <w:rPr>
          <w:b/>
          <w:bCs/>
        </w:rPr>
        <w:t xml:space="preserve">Khách hàng:</w:t>
      </w:r>
      <w:r>
        <w:t xml:space="preserve"> </w:t>
      </w:r>
      <w:r>
        <w:t xml:space="preserve">cá nhân hoặc tổ chức đặt hàng qua website hoặc ứng dụng của Bên bán.</w:t>
      </w:r>
    </w:p>
    <w:p>
      <w:pPr>
        <w:pStyle w:val="BodyText"/>
      </w:pPr>
      <w:r>
        <w:rPr>
          <w:b/>
          <w:bCs/>
        </w:rPr>
        <w:t xml:space="preserve">Đơn hàng:</w:t>
      </w:r>
      <w:r>
        <w:t xml:space="preserve"> </w:t>
      </w:r>
      <w:r>
        <w:t xml:space="preserve">yêu cầu mua hàng do khách hàng gửi qua chức năng đặt hàng.</w:t>
      </w:r>
    </w:p>
    <w:p>
      <w:pPr>
        <w:pStyle w:val="BodyText"/>
      </w:pPr>
      <w:r>
        <w:rPr>
          <w:b/>
          <w:bCs/>
        </w:rPr>
        <w:t xml:space="preserve">Điều khoản này:</w:t>
      </w:r>
      <w:r>
        <w:t xml:space="preserve"> </w:t>
      </w:r>
      <w:r>
        <w:t xml:space="preserve">toàn bộ nội dung của văn bản Điều khoản và Điều kiện giao dịch này.</w:t>
      </w:r>
    </w:p>
    <w:bookmarkEnd w:id="11"/>
    <w:bookmarkStart w:id="12" w:name="quy-trình-đặt-hàng-và-giao-kết-hợp-đồng"/>
    <w:p>
      <w:pPr>
        <w:pStyle w:val="Heading2"/>
      </w:pPr>
      <w:r>
        <w:t xml:space="preserve">3. QUY TRÌNH ĐẶT HÀNG VÀ GIAO KẾT HỢP ĐỒNG</w:t>
      </w:r>
    </w:p>
    <w:p>
      <w:pPr>
        <w:pStyle w:val="FirstParagraph"/>
      </w:pPr>
      <w:r>
        <w:t xml:space="preserve">3.1. Khách hàng chọn sản phẩm, điền thông tin nhận hàng và xác nhận đặt hàng theo các bước hiển thị trên hệ thống.</w:t>
      </w:r>
    </w:p>
    <w:p>
      <w:pPr>
        <w:pStyle w:val="BodyText"/>
      </w:pPr>
      <w:r>
        <w:t xml:space="preserve">3.2. Trước bước xác nhận cuối cùng, hệ thống hiển thị đầy đủ các thông tin sau để khách hàng rà soát:</w:t>
      </w:r>
    </w:p>
    <w:tbl>
      <w:tblPr>
        <w:tblStyle w:val="Table"/>
        <w:tblW w:type="auto" w:w="0"/>
        <w:tblLook w:firstRow="1" w:lastRow="0" w:firstColumn="0" w:lastColumn="0" w:noHBand="0" w:noVBand="0" w:val="0020"/>
      </w:tblPr>
      <w:tblGrid>
        <w:gridCol w:w="7920"/>
      </w:tblGrid>
      <w:tr>
        <w:trPr>
          <w:tblHeader w:val="on"/>
        </w:trPr>
        <w:tc>
          <w:tcPr/>
          <w:p>
            <w:pPr>
              <w:pStyle w:val="Compact"/>
            </w:pPr>
            <w:r>
              <w:t xml:space="preserve">Thông tin hiển thị</w:t>
            </w:r>
          </w:p>
        </w:tc>
      </w:tr>
      <w:tr>
        <w:tc>
          <w:tcPr/>
          <w:p>
            <w:pPr>
              <w:pStyle w:val="Compact"/>
            </w:pPr>
            <w:r>
              <w:t xml:space="preserve">Tên và mô tả sản phẩm</w:t>
            </w:r>
          </w:p>
        </w:tc>
      </w:tr>
      <w:tr>
        <w:tc>
          <w:tcPr/>
          <w:p>
            <w:pPr>
              <w:pStyle w:val="Compact"/>
            </w:pPr>
            <w:r>
              <w:t xml:space="preserve">Số lượng</w:t>
            </w:r>
          </w:p>
        </w:tc>
      </w:tr>
      <w:tr>
        <w:tc>
          <w:tcPr/>
          <w:p>
            <w:pPr>
              <w:pStyle w:val="Compact"/>
            </w:pPr>
            <w:r>
              <w:t xml:space="preserve">Đơn giá và tổng tiền hàng</w:t>
            </w:r>
          </w:p>
        </w:tc>
      </w:tr>
      <w:tr>
        <w:tc>
          <w:tcPr/>
          <w:p>
            <w:pPr>
              <w:pStyle w:val="Compact"/>
            </w:pPr>
            <w:r>
              <w:t xml:space="preserve">Phí vận chuyển</w:t>
            </w:r>
          </w:p>
        </w:tc>
      </w:tr>
      <w:tr>
        <w:tc>
          <w:tcPr/>
          <w:p>
            <w:pPr>
              <w:pStyle w:val="Compact"/>
            </w:pPr>
            <w:r>
              <w:t xml:space="preserve">Các khoản giảm giá, khuyến mại được áp dụng</w:t>
            </w:r>
          </w:p>
        </w:tc>
      </w:tr>
      <w:tr>
        <w:tc>
          <w:tcPr/>
          <w:p>
            <w:pPr>
              <w:pStyle w:val="Compact"/>
            </w:pPr>
            <w:r>
              <w:t xml:space="preserve">Tổng số tiền phải thanh toán</w:t>
            </w:r>
          </w:p>
        </w:tc>
      </w:tr>
      <w:tr>
        <w:tc>
          <w:tcPr/>
          <w:p>
            <w:pPr>
              <w:pStyle w:val="Compact"/>
            </w:pPr>
            <w:r>
              <w:t xml:space="preserve">Địa chỉ nhận hàng và thông tin người nhận</w:t>
            </w:r>
          </w:p>
        </w:tc>
      </w:tr>
      <w:tr>
        <w:tc>
          <w:tcPr/>
          <w:p>
            <w:pPr>
              <w:pStyle w:val="Compact"/>
            </w:pPr>
            <w:r>
              <w:t xml:space="preserve">Thời gian giao hàng dự kiến</w:t>
            </w:r>
          </w:p>
        </w:tc>
      </w:tr>
      <w:tr>
        <w:tc>
          <w:tcPr/>
          <w:p>
            <w:pPr>
              <w:pStyle w:val="Compact"/>
            </w:pPr>
            <w:r>
              <w:t xml:space="preserve">Phương thức thanh toán</w:t>
            </w:r>
          </w:p>
        </w:tc>
      </w:tr>
    </w:tbl>
    <w:p>
      <w:pPr>
        <w:pStyle w:val="BodyText"/>
      </w:pPr>
      <w:r>
        <w:t xml:space="preserve">3.3. Khách hàng có cơ hội rà soát và sửa đổi thông tin trước khi xác nhận cuối cùng. Sau khi xác nhận, khách hàng liên hệ Bên bán qua kênh nêu tại Mục 9 nếu cần điều chỉnh.</w:t>
      </w:r>
    </w:p>
    <w:p>
      <w:pPr>
        <w:pStyle w:val="BodyText"/>
      </w:pPr>
      <w:r>
        <w:t xml:space="preserve">3.4.</w:t>
      </w:r>
      <w:r>
        <w:t xml:space="preserve"> </w:t>
      </w:r>
      <w:r>
        <w:rPr>
          <w:b/>
          <w:bCs/>
        </w:rPr>
        <w:t xml:space="preserve">Thời điểm giao kết hợp đồng:</w:t>
      </w:r>
      <w:r>
        <w:t xml:space="preserve"> </w:t>
      </w:r>
      <w:r>
        <w:t xml:space="preserve">hợp đồng được coi là giao kết khi Bên bán gửi thông báo xác nhận đơn hàng đến địa chỉ điện tử mà khách hàng đã cung cấp.</w:t>
      </w:r>
    </w:p>
    <w:p>
      <w:pPr>
        <w:pStyle w:val="BodyText"/>
      </w:pPr>
      <w:r>
        <w:t xml:space="preserve">3.5. Bên bán có quyền từ chối đơn hàng và thông báo cho khách hàng trong các trường hợp: hết hàng, thông tin đơn hàng không hợp lệ, có dấu hiệu gian lận, hoặc lý do khác được nêu rõ trong thông báo.</w:t>
      </w:r>
    </w:p>
    <w:bookmarkEnd w:id="12"/>
    <w:bookmarkStart w:id="13" w:name="giá-và-thanh-toán"/>
    <w:p>
      <w:pPr>
        <w:pStyle w:val="Heading2"/>
      </w:pPr>
      <w:r>
        <w:t xml:space="preserve">4. GIÁ VÀ THANH TOÁN</w:t>
      </w:r>
    </w:p>
    <w:p>
      <w:pPr>
        <w:pStyle w:val="FirstParagraph"/>
      </w:pPr>
      <w:r>
        <w:t xml:space="preserve">4.1. Giá niêm yết trên hệ thống là giá đã bao gồm thuế giá trị gia tăng, chưa bao gồm phí vận chuyển trừ khi có ghi chú khác.</w:t>
      </w:r>
    </w:p>
    <w:p>
      <w:pPr>
        <w:pStyle w:val="BodyText"/>
      </w:pPr>
      <w:r>
        <w:t xml:space="preserve">4.2. Phương thức thanh toán được chấp nhận:</w:t>
      </w:r>
    </w:p>
    <w:p>
      <w:pPr>
        <w:pStyle w:val="BodyText"/>
      </w:pPr>
      <w:r>
        <w:t xml:space="preserve">☐ Thanh toán khi nhận hàng ☐ Chuyển khoản ☐ Thẻ ☐ Ví điện tử ☐ Khác: …………….</w:t>
      </w:r>
    </w:p>
    <w:p>
      <w:pPr>
        <w:pStyle w:val="BodyText"/>
      </w:pPr>
      <w:r>
        <w:t xml:space="preserve">4.3. Bên bán xuất hóa đơn điện tử theo quy định của pháp luật. Khách hàng cung cấp thông tin xuất hóa đơn tại thời điểm đặt hàng nếu có nhu cầu.</w:t>
      </w:r>
    </w:p>
    <w:p>
      <w:pPr>
        <w:pStyle w:val="BodyText"/>
      </w:pPr>
      <w:r>
        <w:t xml:space="preserve">4.4. Trường hợp giá hiển thị có sai sót rõ ràng do lỗi kỹ thuật, Bên bán thông báo cho khách hàng và hai bên thỏa thuận lại hoặc hủy đơn hàng, hoàn tiền đầy đủ nếu khách hàng đã thanh toán.</w:t>
      </w:r>
    </w:p>
    <w:bookmarkEnd w:id="13"/>
    <w:bookmarkStart w:id="14" w:name="giao-hàng"/>
    <w:p>
      <w:pPr>
        <w:pStyle w:val="Heading2"/>
      </w:pPr>
      <w:r>
        <w:t xml:space="preserve">5. GIAO HÀNG</w:t>
      </w:r>
    </w:p>
    <w:p>
      <w:pPr>
        <w:pStyle w:val="FirstParagraph"/>
      </w:pPr>
      <w:r>
        <w:t xml:space="preserve">5.1. Phạm vi giao hàng: …………………………………………………………………………</w:t>
      </w:r>
    </w:p>
    <w:p>
      <w:pPr>
        <w:pStyle w:val="BodyText"/>
      </w:pPr>
      <w:r>
        <w:t xml:space="preserve">5.2. Thời gian giao hàng dự kiến: …………………………………………………………….</w:t>
      </w:r>
    </w:p>
    <w:p>
      <w:pPr>
        <w:pStyle w:val="BodyText"/>
      </w:pPr>
      <w:r>
        <w:t xml:space="preserve">5.3. Phí vận chuyển: …………………………………………………………………………..</w:t>
      </w:r>
    </w:p>
    <w:p>
      <w:pPr>
        <w:pStyle w:val="BodyText"/>
      </w:pPr>
      <w:r>
        <w:t xml:space="preserve">5.4. Rủi ro về mất mát, hư hỏng hàng hóa chuyển sang khách hàng kể từ thời điểm khách hàng hoặc người được khách hàng ủy quyền nhận hàng.</w:t>
      </w:r>
    </w:p>
    <w:p>
      <w:pPr>
        <w:pStyle w:val="BodyText"/>
      </w:pPr>
      <w:r>
        <w:t xml:space="preserve">5.5. Khách hàng kiểm tra tình trạng bên ngoài của kiện hàng trước khi nhận. Trường hợp phát hiện hư hỏng, khách hàng từ chối nhận và thông báo ngay cho Bên bán.</w:t>
      </w:r>
    </w:p>
    <w:bookmarkEnd w:id="14"/>
    <w:bookmarkStart w:id="15" w:name="đổi-trả-và-hủy-đơn-hàng"/>
    <w:p>
      <w:pPr>
        <w:pStyle w:val="Heading2"/>
      </w:pPr>
      <w:r>
        <w:t xml:space="preserve">6. ĐỔI TRẢ VÀ HỦY ĐƠN HÀNG</w:t>
      </w:r>
    </w:p>
    <w:p>
      <w:pPr>
        <w:pStyle w:val="FirstParagraph"/>
      </w:pPr>
      <w:r>
        <w:t xml:space="preserve">6.1. Điều kiện đổi trả:</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Trường hợp</w:t>
            </w:r>
          </w:p>
        </w:tc>
        <w:tc>
          <w:tcPr/>
          <w:p>
            <w:pPr>
              <w:pStyle w:val="Compact"/>
            </w:pPr>
            <w:r>
              <w:t xml:space="preserve">Được đổi trả</w:t>
            </w:r>
          </w:p>
        </w:tc>
        <w:tc>
          <w:tcPr/>
          <w:p>
            <w:pPr>
              <w:pStyle w:val="Compact"/>
            </w:pPr>
            <w:r>
              <w:t xml:space="preserve">Ghi chú</w:t>
            </w:r>
          </w:p>
        </w:tc>
      </w:tr>
      <w:tr>
        <w:tc>
          <w:tcPr/>
          <w:p>
            <w:pPr>
              <w:pStyle w:val="Compact"/>
            </w:pPr>
            <w:r>
              <w:t xml:space="preserve">Hàng giao sai chủng loại, sai số lượng</w:t>
            </w:r>
          </w:p>
        </w:tc>
        <w:tc>
          <w:tcPr/>
          <w:p>
            <w:pPr>
              <w:pStyle w:val="Compact"/>
            </w:pPr>
            <w:r>
              <w:t xml:space="preserve">Có</w:t>
            </w:r>
          </w:p>
        </w:tc>
        <w:tc>
          <w:tcPr/>
          <w:p>
            <w:pPr>
              <w:pStyle w:val="Compact"/>
            </w:pPr>
            <w:r>
              <w:t xml:space="preserve">Bên bán chịu chi phí</w:t>
            </w:r>
          </w:p>
        </w:tc>
      </w:tr>
      <w:tr>
        <w:tc>
          <w:tcPr/>
          <w:p>
            <w:pPr>
              <w:pStyle w:val="Compact"/>
            </w:pPr>
            <w:r>
              <w:t xml:space="preserve">Hàng bị lỗi do nhà sản xuất</w:t>
            </w:r>
          </w:p>
        </w:tc>
        <w:tc>
          <w:tcPr/>
          <w:p>
            <w:pPr>
              <w:pStyle w:val="Compact"/>
            </w:pPr>
            <w:r>
              <w:t xml:space="preserve">Có</w:t>
            </w:r>
          </w:p>
        </w:tc>
        <w:tc>
          <w:tcPr/>
          <w:p>
            <w:pPr>
              <w:pStyle w:val="Compact"/>
            </w:pPr>
            <w:r>
              <w:t xml:space="preserve">Bên bán chịu chi phí</w:t>
            </w:r>
          </w:p>
        </w:tc>
      </w:tr>
      <w:tr>
        <w:tc>
          <w:tcPr/>
          <w:p>
            <w:pPr>
              <w:pStyle w:val="Compact"/>
            </w:pPr>
            <w:r>
              <w:t xml:space="preserve">Hàng hư hỏng trong quá trình vận chuyển</w:t>
            </w:r>
          </w:p>
        </w:tc>
        <w:tc>
          <w:tcPr/>
          <w:p>
            <w:pPr>
              <w:pStyle w:val="Compact"/>
            </w:pPr>
            <w:r>
              <w:t xml:space="preserve">Có</w:t>
            </w:r>
          </w:p>
        </w:tc>
        <w:tc>
          <w:tcPr/>
          <w:p>
            <w:pPr>
              <w:pStyle w:val="Compact"/>
            </w:pPr>
            <w:r>
              <w:t xml:space="preserve">Bên bán chịu chi phí</w:t>
            </w:r>
          </w:p>
        </w:tc>
      </w:tr>
      <w:tr>
        <w:tc>
          <w:tcPr/>
          <w:p>
            <w:pPr>
              <w:pStyle w:val="Compact"/>
            </w:pPr>
            <w:r>
              <w:t xml:space="preserve">Khách hàng đổi ý</w:t>
            </w:r>
          </w:p>
        </w:tc>
        <w:tc>
          <w:tcPr/>
          <w:p>
            <w:pPr>
              <w:pStyle w:val="Compact"/>
            </w:pPr>
          </w:p>
        </w:tc>
        <w:tc>
          <w:tcPr/>
          <w:p>
            <w:pPr>
              <w:pStyle w:val="Compact"/>
            </w:pPr>
            <w:r>
              <w:rPr>
                <w:i/>
                <w:iCs/>
              </w:rPr>
              <w:t xml:space="preserve">(ghi rõ chính sách của doanh nghiệp)</w:t>
            </w:r>
          </w:p>
        </w:tc>
      </w:tr>
      <w:tr>
        <w:tc>
          <w:tcPr/>
          <w:p>
            <w:pPr>
              <w:pStyle w:val="Compact"/>
            </w:pPr>
            <w:r>
              <w:t xml:space="preserve">Hàng thuộc nhóm không áp dụng đổi trả</w:t>
            </w:r>
          </w:p>
        </w:tc>
        <w:tc>
          <w:tcPr/>
          <w:p>
            <w:pPr>
              <w:pStyle w:val="Compact"/>
            </w:pPr>
            <w:r>
              <w:t xml:space="preserve">Không</w:t>
            </w:r>
          </w:p>
        </w:tc>
        <w:tc>
          <w:tcPr/>
          <w:p>
            <w:pPr>
              <w:pStyle w:val="Compact"/>
            </w:pPr>
            <w:r>
              <w:rPr>
                <w:i/>
                <w:iCs/>
              </w:rPr>
              <w:t xml:space="preserve">(liệt kê cụ thể)</w:t>
            </w:r>
          </w:p>
        </w:tc>
      </w:tr>
    </w:tbl>
    <w:p>
      <w:pPr>
        <w:pStyle w:val="BodyText"/>
      </w:pPr>
      <w:r>
        <w:t xml:space="preserve">6.2. Thời hạn thông báo đổi trả: ….. ngày kể từ ngày nhận hàng.</w:t>
      </w:r>
    </w:p>
    <w:p>
      <w:pPr>
        <w:pStyle w:val="BodyText"/>
      </w:pPr>
      <w:r>
        <w:t xml:space="preserve">6.3. Điều kiện hàng đổi trả: còn nguyên bao bì, tem nhãn, phụ kiện kèm theo và chưa qua sử dụng, trừ trường hợp hàng bị lỗi.</w:t>
      </w:r>
    </w:p>
    <w:p>
      <w:pPr>
        <w:pStyle w:val="BodyText"/>
      </w:pPr>
      <w:r>
        <w:t xml:space="preserve">6.4. Thời hạn hoàn tiền: ….. ngày làm việc kể từ ngày Bên bán nhận lại hàng và xác nhận đủ điều kiện.</w:t>
      </w:r>
    </w:p>
    <w:p>
      <w:pPr>
        <w:pStyle w:val="BodyText"/>
      </w:pPr>
      <w:r>
        <w:t xml:space="preserve">6.5. Hình thức hoàn tiền: hoàn về phương thức thanh toán ban đầu hoặc theo thỏa thuận với khách hàng.</w:t>
      </w:r>
    </w:p>
    <w:p>
      <w:pPr>
        <w:pStyle w:val="BodyText"/>
      </w:pPr>
      <w:r>
        <w:t xml:space="preserve">6.6. Hủy đơn hàng: khách hàng được hủy đơn trước khi Bên bán bàn giao hàng cho đơn vị vận chuyển, bằng cách liên hệ qua kênh nêu tại Mục 9.</w:t>
      </w:r>
    </w:p>
    <w:bookmarkEnd w:id="15"/>
    <w:bookmarkStart w:id="16" w:name="bảo-hành"/>
    <w:p>
      <w:pPr>
        <w:pStyle w:val="Heading2"/>
      </w:pPr>
      <w:r>
        <w:t xml:space="preserve">7. BẢO HÀNH</w:t>
      </w:r>
    </w:p>
    <w:p>
      <w:pPr>
        <w:pStyle w:val="FirstParagraph"/>
      </w:pPr>
      <w:r>
        <w:t xml:space="preserve">7.1. Thời hạn bảo hành: theo chính sách của nhà sản xuất hoặc theo công bố của Bên bán đối với từng sản phẩm.</w:t>
      </w:r>
    </w:p>
    <w:p>
      <w:pPr>
        <w:pStyle w:val="BodyText"/>
      </w:pPr>
      <w:r>
        <w:t xml:space="preserve">7.2. Phạm vi bảo hành: …………………………………………………………………………</w:t>
      </w:r>
    </w:p>
    <w:p>
      <w:pPr>
        <w:pStyle w:val="BodyText"/>
      </w:pPr>
      <w:r>
        <w:t xml:space="preserve">7.3. Các trường hợp không thuộc phạm vi bảo hành: ……………………………………….</w:t>
      </w:r>
    </w:p>
    <w:p>
      <w:pPr>
        <w:pStyle w:val="BodyText"/>
      </w:pPr>
      <w:r>
        <w:t xml:space="preserve">7.4. Địa điểm và cách thức tiếp nhận bảo hành: …………………………………………….</w:t>
      </w:r>
    </w:p>
    <w:bookmarkEnd w:id="16"/>
    <w:bookmarkStart w:id="17" w:name="bảo-vệ-thông-tin-cá-nhân"/>
    <w:p>
      <w:pPr>
        <w:pStyle w:val="Heading2"/>
      </w:pPr>
      <w:r>
        <w:t xml:space="preserve">8. BẢO VỆ THÔNG TIN CÁ NHÂN</w:t>
      </w:r>
    </w:p>
    <w:p>
      <w:pPr>
        <w:pStyle w:val="FirstParagraph"/>
      </w:pPr>
      <w:r>
        <w:t xml:space="preserve">8.1. Bên bán thu thập và xử lý dữ liệu cá nhân của khách hàng theo quy định của pháp luật về bảo vệ dữ liệu cá nhân.</w:t>
      </w:r>
    </w:p>
    <w:p>
      <w:pPr>
        <w:pStyle w:val="BodyText"/>
      </w:pPr>
      <w:r>
        <w:t xml:space="preserve">8.2. Loại dữ liệu thu thập: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Loại dữ liệu</w:t>
            </w:r>
          </w:p>
        </w:tc>
        <w:tc>
          <w:tcPr/>
          <w:p>
            <w:pPr>
              <w:pStyle w:val="Compact"/>
            </w:pPr>
            <w:r>
              <w:t xml:space="preserve">Mục đích sử dụng</w:t>
            </w:r>
          </w:p>
        </w:tc>
      </w:tr>
      <w:tr>
        <w:tc>
          <w:tcPr/>
          <w:p>
            <w:pPr>
              <w:pStyle w:val="Compact"/>
            </w:pPr>
            <w:r>
              <w:t xml:space="preserve">Họ tên, số điện thoại, địa chỉ</w:t>
            </w:r>
          </w:p>
        </w:tc>
        <w:tc>
          <w:tcPr/>
          <w:p>
            <w:pPr>
              <w:pStyle w:val="Compact"/>
            </w:pPr>
            <w:r>
              <w:t xml:space="preserve">Xử lý và giao đơn hàng</w:t>
            </w:r>
          </w:p>
        </w:tc>
      </w:tr>
      <w:tr>
        <w:tc>
          <w:tcPr/>
          <w:p>
            <w:pPr>
              <w:pStyle w:val="Compact"/>
            </w:pPr>
            <w:r>
              <w:t xml:space="preserve">Email</w:t>
            </w:r>
          </w:p>
        </w:tc>
        <w:tc>
          <w:tcPr/>
          <w:p>
            <w:pPr>
              <w:pStyle w:val="Compact"/>
            </w:pPr>
            <w:r>
              <w:t xml:space="preserve">Gửi xác nhận đơn hàng và thông báo liên quan</w:t>
            </w:r>
          </w:p>
        </w:tc>
      </w:tr>
      <w:tr>
        <w:tc>
          <w:tcPr/>
          <w:p>
            <w:pPr>
              <w:pStyle w:val="Compact"/>
            </w:pPr>
            <w:r>
              <w:t xml:space="preserve">Thông tin thanh toán</w:t>
            </w:r>
          </w:p>
        </w:tc>
        <w:tc>
          <w:tcPr/>
          <w:p>
            <w:pPr>
              <w:pStyle w:val="Compact"/>
            </w:pPr>
            <w:r>
              <w:t xml:space="preserve">Xử lý giao dịch thanh toán</w:t>
            </w:r>
          </w:p>
        </w:tc>
      </w:tr>
      <w:tr>
        <w:tc>
          <w:tcPr/>
          <w:p>
            <w:pPr>
              <w:pStyle w:val="Compact"/>
            </w:pPr>
            <w:r>
              <w:t xml:space="preserve">Lịch sử mua hàng</w:t>
            </w:r>
          </w:p>
        </w:tc>
        <w:tc>
          <w:tcPr/>
          <w:p>
            <w:pPr>
              <w:pStyle w:val="Compact"/>
            </w:pPr>
            <w:r>
              <w:t xml:space="preserve">Chăm sóc khách hàng, xử lý bảo hành và khiếu nại</w:t>
            </w:r>
          </w:p>
        </w:tc>
      </w:tr>
    </w:tbl>
    <w:p>
      <w:pPr>
        <w:pStyle w:val="BodyText"/>
      </w:pPr>
      <w:r>
        <w:t xml:space="preserve">8.3. Bên bán chia sẻ dữ liệu với các bên sau nhằm thực hiện đơn hàng: đơn vị vận chuyển, đơn vị thanh toán, và các bên khác theo yêu cầu của cơ quan nhà nước có thẩm quyền.</w:t>
      </w:r>
    </w:p>
    <w:p>
      <w:pPr>
        <w:pStyle w:val="BodyText"/>
      </w:pPr>
      <w:r>
        <w:t xml:space="preserve">8.4. Thời gian lưu trữ dữ liệu: ………………………………………………………………..</w:t>
      </w:r>
    </w:p>
    <w:p>
      <w:pPr>
        <w:pStyle w:val="BodyText"/>
      </w:pPr>
      <w:r>
        <w:t xml:space="preserve">8.5. Quyền của khách hàng đối với dữ liệu cá nhân của mình: được biết, được truy cập, được yêu cầu chỉnh sửa, được yêu cầu xóa và các quyền khác theo quy định của pháp luật.</w:t>
      </w:r>
    </w:p>
    <w:p>
      <w:pPr>
        <w:pStyle w:val="BodyText"/>
      </w:pPr>
      <w:r>
        <w:t xml:space="preserve">8.6. Kênh tiếp nhận yêu cầu liên quan đến dữ liệu cá nhân: ………………………………..</w:t>
      </w:r>
    </w:p>
    <w:bookmarkEnd w:id="17"/>
    <w:bookmarkStart w:id="18" w:name="tiếp-nhận-và-giải-quyết-khiếu-nại"/>
    <w:p>
      <w:pPr>
        <w:pStyle w:val="Heading2"/>
      </w:pPr>
      <w:r>
        <w:t xml:space="preserve">9. TIẾP NHẬN VÀ GIẢI QUYẾT KHIẾU NẠI</w:t>
      </w:r>
    </w:p>
    <w:p>
      <w:pPr>
        <w:pStyle w:val="FirstParagraph"/>
      </w:pPr>
      <w:r>
        <w:t xml:space="preserve">9.1. Kênh tiếp nhận khiếu nại:</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Kênh</w:t>
            </w:r>
          </w:p>
        </w:tc>
        <w:tc>
          <w:tcPr/>
          <w:p>
            <w:pPr>
              <w:pStyle w:val="Compact"/>
            </w:pPr>
            <w:r>
              <w:t xml:space="preserve">Thông tin</w:t>
            </w:r>
          </w:p>
        </w:tc>
      </w:tr>
      <w:tr>
        <w:tc>
          <w:tcPr/>
          <w:p>
            <w:pPr>
              <w:pStyle w:val="Compact"/>
            </w:pPr>
            <w:r>
              <w:t xml:space="preserve">Điện thoại</w:t>
            </w:r>
          </w:p>
        </w:tc>
        <w:tc>
          <w:tcPr/>
          <w:p>
            <w:pPr>
              <w:pStyle w:val="Compact"/>
            </w:pPr>
          </w:p>
        </w:tc>
      </w:tr>
      <w:tr>
        <w:tc>
          <w:tcPr/>
          <w:p>
            <w:pPr>
              <w:pStyle w:val="Compact"/>
            </w:pPr>
            <w:r>
              <w:t xml:space="preserve">Email</w:t>
            </w:r>
          </w:p>
        </w:tc>
        <w:tc>
          <w:tcPr/>
          <w:p>
            <w:pPr>
              <w:pStyle w:val="Compact"/>
            </w:pPr>
          </w:p>
        </w:tc>
      </w:tr>
      <w:tr>
        <w:tc>
          <w:tcPr/>
          <w:p>
            <w:pPr>
              <w:pStyle w:val="Compact"/>
            </w:pPr>
            <w:r>
              <w:t xml:space="preserve">Địa chỉ</w:t>
            </w:r>
          </w:p>
        </w:tc>
        <w:tc>
          <w:tcPr/>
          <w:p>
            <w:pPr>
              <w:pStyle w:val="Compact"/>
            </w:pPr>
          </w:p>
        </w:tc>
      </w:tr>
      <w:tr>
        <w:tc>
          <w:tcPr/>
          <w:p>
            <w:pPr>
              <w:pStyle w:val="Compact"/>
            </w:pPr>
            <w:r>
              <w:t xml:space="preserve">Kênh trực tuyến</w:t>
            </w:r>
          </w:p>
        </w:tc>
        <w:tc>
          <w:tcPr/>
          <w:p>
            <w:pPr>
              <w:pStyle w:val="Compact"/>
            </w:pPr>
          </w:p>
        </w:tc>
      </w:tr>
    </w:tbl>
    <w:p>
      <w:pPr>
        <w:pStyle w:val="BodyText"/>
      </w:pPr>
      <w:r>
        <w:t xml:space="preserve">9.2. Thời hạn phản hồi khiếu nại: ….. ngày làm việc kể từ ngày tiếp nhận.</w:t>
      </w:r>
    </w:p>
    <w:p>
      <w:pPr>
        <w:pStyle w:val="BodyText"/>
      </w:pPr>
      <w:r>
        <w:t xml:space="preserve">9.3. Thời hạn giải quyết: ….. ngày làm việc kể từ ngày phản hồi.</w:t>
      </w:r>
    </w:p>
    <w:p>
      <w:pPr>
        <w:pStyle w:val="BodyText"/>
      </w:pPr>
      <w:r>
        <w:t xml:space="preserve">9.4. Trường hợp không đạt được thỏa thuận, các bên có quyền yêu cầu cơ quan có thẩm quyền giải quyết theo quy định của pháp luật.</w:t>
      </w:r>
    </w:p>
    <w:bookmarkEnd w:id="18"/>
    <w:bookmarkStart w:id="19" w:name="hiệu-lực-và-sửa-đổi"/>
    <w:p>
      <w:pPr>
        <w:pStyle w:val="Heading2"/>
      </w:pPr>
      <w:r>
        <w:t xml:space="preserve">10. HIỆU LỰC VÀ SỬA ĐỔI</w:t>
      </w:r>
    </w:p>
    <w:p>
      <w:pPr>
        <w:pStyle w:val="FirstParagraph"/>
      </w:pPr>
      <w:r>
        <w:t xml:space="preserve">10.1. Khách hàng xác nhận đã đọc, hiểu và đồng ý với toàn bộ Điều khoản này trước khi hoàn tất việc đặt hàng.</w:t>
      </w:r>
    </w:p>
    <w:p>
      <w:pPr>
        <w:pStyle w:val="BodyText"/>
      </w:pPr>
      <w:r>
        <w:t xml:space="preserve">10.2. Bên bán có quyền sửa đổi Điều khoản này và công bố trên hệ thống. Điều khoản áp dụng cho một đơn hàng là bản có hiệu lực tại thời điểm đơn hàng được giao kết.</w:t>
      </w:r>
    </w:p>
    <w:p>
      <w:pPr>
        <w:pStyle w:val="BodyText"/>
      </w:pPr>
      <w:r>
        <w:t xml:space="preserve">10.3. Điều khoản này được lập dưới dạng thông điệp dữ liệu và có giá trị pháp lý theo Luật Giao dịch điện tử số 20/2023/QH15.</w:t>
      </w:r>
    </w:p>
    <w:p>
      <w:r>
        <w:pict>
          <v:rect style="width:0;height:1.5pt" o:hralign="center" o:hrstd="t" o:hr="t"/>
        </w:pict>
      </w:r>
    </w:p>
    <w:p>
      <w:pPr>
        <w:pStyle w:val="FirstParagraph"/>
      </w:pPr>
      <w:r>
        <w:rPr>
          <w:b/>
          <w:bCs/>
        </w:rPr>
        <w:t xml:space="preserve">Lưu ý quan trọng khi sử dụng biểu mẫu</w:t>
      </w:r>
    </w:p>
    <w:p>
      <w:pPr>
        <w:pStyle w:val="BodyText"/>
      </w:pPr>
      <w:r>
        <w:rPr>
          <w:b/>
          <w:bCs/>
        </w:rPr>
        <w:t xml:space="preserve">1. Bộ điều khoản này cần được luật sư hoặc pháp chế rà soát trước khi công bố.</w:t>
      </w:r>
      <w:r>
        <w:t xml:space="preserve"> </w:t>
      </w:r>
      <w:r>
        <w:t xml:space="preserve">Đây là hợp đồng theo mẫu áp dụng cho toàn bộ khách hàng, sai một điều khoản là ảnh hưởng đến mọi giao dịch chứ không phải một giao dịch.</w:t>
      </w:r>
    </w:p>
    <w:p>
      <w:pPr>
        <w:pStyle w:val="BodyText"/>
      </w:pPr>
      <w:r>
        <w:rPr>
          <w:b/>
          <w:bCs/>
        </w:rPr>
        <w:t xml:space="preserve">2. Pháp luật bảo vệ quyền lợi người tiêu dùng có quy định về các điều khoản không được phép đưa vào hợp đồng theo mẫu.</w:t>
      </w:r>
      <w:r>
        <w:t xml:space="preserve"> </w:t>
      </w:r>
      <w:r>
        <w:t xml:space="preserve">Ví dụ các điều khoản loại trừ hoàn toàn trách nhiệm của bên bán, hoặc cho phép bên bán đơn phương thay đổi điều kiện đã thỏa thuận. Cần rà kỹ Mục 6, Mục 7 và Mục 10.2 theo hướng này.</w:t>
      </w:r>
    </w:p>
    <w:p>
      <w:pPr>
        <w:pStyle w:val="BodyText"/>
      </w:pPr>
      <w:r>
        <w:rPr>
          <w:b/>
          <w:bCs/>
        </w:rPr>
        <w:t xml:space="preserve">3. Mục 8 về bảo vệ dữ liệu cá nhân là phần cần cập nhật gấp.</w:t>
      </w:r>
      <w:r>
        <w:t xml:space="preserve"> </w:t>
      </w:r>
      <w:r>
        <w:t xml:space="preserve">Luật Bảo vệ dữ liệu cá nhân có hiệu lực từ ngày 01/01/2026, đặt ra yêu cầu về căn cứ thu thập, mục đích sử dụng, thời hạn lưu trữ và quyền của chủ thể dữ liệu. Nhiều website thương mại điện tử chưa rà lại phần này.</w:t>
      </w:r>
    </w:p>
    <w:p>
      <w:pPr>
        <w:pStyle w:val="BodyText"/>
      </w:pPr>
      <w:r>
        <w:rPr>
          <w:b/>
          <w:bCs/>
        </w:rPr>
        <w:t xml:space="preserve">4. Mục 3.2 về thông tin hiển thị trước khi xác nhận đơn hàng</w:t>
      </w:r>
      <w:r>
        <w:t xml:space="preserve"> </w:t>
      </w:r>
      <w:r>
        <w:t xml:space="preserve">là yêu cầu của pháp luật về thương mại điện tử, không phải tùy chọn. Bảo đảm giao diện thực tế hiển thị đủ các mục trong bảng.</w:t>
      </w:r>
    </w:p>
    <w:p>
      <w:pPr>
        <w:pStyle w:val="BodyText"/>
      </w:pPr>
      <w:r>
        <w:rPr>
          <w:b/>
          <w:bCs/>
        </w:rPr>
        <w:t xml:space="preserve">5. Mục 3.4 về thời điểm giao kết</w:t>
      </w:r>
      <w:r>
        <w:t xml:space="preserve"> </w:t>
      </w:r>
      <w:r>
        <w:t xml:space="preserve">cần điền chính xác theo cách hệ thống của bạn vận hành. Nếu hệ thống tự động xác nhận ngay khi khách bấm đặt hàng thì phải mô tả đúng như vậy.</w:t>
      </w:r>
    </w:p>
    <w:p>
      <w:pPr>
        <w:pStyle w:val="BodyText"/>
      </w:pPr>
      <w:r>
        <w:rPr>
          <w:b/>
          <w:bCs/>
        </w:rPr>
        <w:t xml:space="preserve">6. Mục 6.1 phải điền cụ thể, không để trống.</w:t>
      </w:r>
      <w:r>
        <w:t xml:space="preserve"> </w:t>
      </w:r>
      <w:r>
        <w:t xml:space="preserve">Chính sách đổi trả mơ hồ là nguyên nhân khiếu nại phổ biến nhất trong thương mại điện tử.</w:t>
      </w:r>
    </w:p>
    <w:p>
      <w:pPr>
        <w:pStyle w:val="BodyText"/>
      </w:pPr>
      <w:r>
        <w:rPr>
          <w:b/>
          <w:bCs/>
        </w:rPr>
        <w:t xml:space="preserve">7. Bên bán cần thực hiện thủ tục thông báo hoặc đăng ký website thương mại điện tử</w:t>
      </w:r>
      <w:r>
        <w:t xml:space="preserve"> </w:t>
      </w:r>
      <w:r>
        <w:t xml:space="preserve">với cơ quan quản lý theo quy định. Điền thông tin này vào Mục 1.</w:t>
      </w:r>
    </w:p>
    <w:p>
      <w:pPr>
        <w:pStyle w:val="BodyText"/>
      </w:pPr>
      <w:r>
        <w:rPr>
          <w:b/>
          <w:bCs/>
        </w:rPr>
        <w:t xml:space="preserve">8.</w:t>
      </w:r>
      <w:r>
        <w:t xml:space="preserve"> </w:t>
      </w:r>
      <w:r>
        <w:t xml:space="preserve">Biểu mẫu mang tính tham khảo, không thay thế tư vấn pháp lý cho từng mô hình kinh doanh cụ thể.</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2026-08-13T14:16:18Z</dcterms:created>
  <dcterms:modified xsi:type="dcterms:W3CDTF">2026-08-13T14:16:18Z</dcterms:modified>
</cp:coreProperties>
</file>

<file path=docProps/custom.xml><?xml version="1.0" encoding="utf-8"?>
<Properties xmlns="http://schemas.openxmlformats.org/officeDocument/2006/custom-properties" xmlns:vt="http://schemas.openxmlformats.org/officeDocument/2006/docPropsVTypes"/>
</file>